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AC.2007.0231 vom 23. Juni 2008</w:t>
      </w:r>
    </w:p>
    <w:p>
      <w:r>
        <w:t>VD Tribunal cantonal, 2008-06-23, FR</w:t>
      </w:r>
    </w:p>
    <w:p>
      <w:r>
        <w:rPr>
          <w:b/>
        </w:rPr>
        <w:t xml:space="preserve">Quelle: </w:t>
      </w:r>
      <w:r>
        <w:t>https://mcp.opencaselaw.ch/entscheid/vd_omni_AC.2007.0231</w:t>
      </w:r>
    </w:p>
    <w:p>
      <w:r>
        <w:t>FR: VD_OMNI AC.2007.0231 du 23 juin 2008</w:t>
      </w:r>
    </w:p>
    <w:p>
      <w:r>
        <w:t>IT: VD_OMNI AC.2007.0231 del 23 giugno 2008</w:t>
      </w:r>
    </w:p>
    <w:p>
      <w:pPr>
        <w:pStyle w:val="Heading2"/>
      </w:pPr>
      <w:r>
        <w:t>Regeste</w:t>
      </w:r>
    </w:p>
    <w:p>
      <w:r>
        <w:t>RAMA, MONDANI, CORNO, ZEMP, FREULER/Municipalité de Bassins, Service des routes, CORNAZ, Geme Developpement et Investissement SA, METROZ | La municipalité a entrepris dès 1997, à la demande des habitants du hameau de La Cézille, des démarches en vue de l'élaboration d'un projet de PPA. Ce projet a été abandonné en juin 2006 suite aux divergences de vue entre l'autorité municipale et les propriétaires concernés. Les recourants n'ont pas contesté à l'époque l'abandon dudit projet. Ils ne peuvent dès lors pas se fonder sur l'art. 77 LATC pour se prévaloir aujourd'hui de l'effet anticipé d'un tel projet, ce dernier ayant été purement et simplement écarté. De même, l'autorité n'était pas tenue de procéder à une révision de son plan d'affectation dans la mesure où les intéressés n'exposent pas en quoi le maintien de la planification en vigueur entraînerait pour eux, soit dans le cadre de leur possibilité d'utiliser leur bien-fonds, des restrictions qui ne seraient plus justifiées par un intérêt public suffisant. Rappel de jurisprudence, selon laquelle un terrain n'est équipé en voies d'accès de manière adéquate que si celles-ci sont adaptées à l'utilisation prévue du bien-fonds. Il faut et il suffit que, par sa construction et son aménagement, une voie de desserte soit praticable pour le trafic lié à l'utilisation du bien-fonds et n'expose pas ses usagers, ni ceux des voies publiques auxquelles elle se raccorderait, à des dangers excessifs. Tel est le cas en l'espèce. Enfin, l'intégration de l'ensemble résidentiel projeté dans le mileu bâti ne pose pas de problème particulier et le choix de la municipalité de l'autoriser est resté dans les limites d'une pesée correcte et consciencieuse des intérêts en présence. Rejet du recours.</w:t>
      </w:r>
    </w:p>
    <w:p>
      <w:pPr>
        <w:pStyle w:val="Heading2"/>
      </w:pPr>
      <w:r>
        <w:t>Erwägungen</w:t>
      </w:r>
    </w:p>
    <w:p>
      <w:r>
        <w:rPr>
          <w:b/>
        </w:rPr>
        <w:t>E. 1</w:t>
      </w:r>
    </w:p>
    <w:p>
      <w:r>
        <w:t>Les recours ont été déposés en temps utile et respectent les conditions formelles de l’art. 31 al. 2 de la loi sur la juridiction et la procédure administratives du 18 décembre 1989 (LJPA ; RSV 173.36).</w:t>
      </w:r>
    </w:p>
    <w:p>
      <w:r>
        <w:rPr>
          <w:b/>
        </w:rPr>
        <w:t>E. 2</w:t>
      </w:r>
    </w:p>
    <w:p>
      <w:r>
        <w:t>La qualité pour recourir devant le Tribunal administratif est régie par l’art. 37 LJPA, selon lequel le droit de recours appartient à toute personne physique ou morale qui est atteinte par la décision attaquée et à un intérêt digne de protection à ce qu’elle soit annulée ou modifiée. Sont réservées les dispositions des lois spéciales légitimant d’autres personnes ou autorités à recourir ainsi que les dispositions du droit fédéral. En l'espèce, les recourants sont tous propriétaires de parcelles situées dans le hameau. Leur qualité pour recourir est manifeste de sorte qu'il y a lieu d'entrer en matière sur le fond du litige.</w:t>
      </w:r>
    </w:p>
    <w:p>
      <w:r>
        <w:rPr>
          <w:b/>
        </w:rPr>
        <w:t>E. 3</w:t>
      </w:r>
    </w:p>
    <w:p>
      <w:r>
        <w:t>Le projet doit être adopté par l'autorité compétente dans les six mois dès le dernier          jour de l'enquête publique.</w:t>
      </w:r>
    </w:p>
    <w:p>
      <w:r>
        <w:rPr>
          <w:b/>
        </w:rPr>
        <w:t>E. 4</w:t>
      </w:r>
    </w:p>
    <w:p>
      <w:r>
        <w:t>Le département, d'office ou sur requête de la municipalité, peut prolonger les délais         fixés aux alinéas 2 et 3 de six mois au plus chacun. Le Conseil d'Etat dispose de la          même faculté lorsqu'il s'agit d'un plan ou d'un règlement cantonal.</w:t>
      </w:r>
    </w:p>
    <w:p>
      <w:r>
        <w:rPr>
          <w:b/>
        </w:rPr>
        <w:t>E. 5</w:t>
      </w:r>
    </w:p>
    <w:p>
      <w:r>
        <w:t>Lorsque les délais fixés ci-dessus n'ont pas été observés, le requérant peut         renouveler sa demande de permis de construire. La municipalité doit statuer dans      les trente jours, après avoir consulté le département." L’art. 77 al.1 er LATC aménage les conditions dans lesquelles l’autorité communale (ou cantonale) peut être amenée, dans le cadre d’un examen préjudiciel de la validité des dispositions d’affectation en vigueur, à en bloquer l’application pour mettre en chantier une modification de la planification existante (arrêt TA AC.1996.0128 du 9 octobre 1996, cons id. 2a, in fine). Il s’agit d’une mesure provisionnelle qui doit empêcher que la réalisation d‘un projet conforme à une réglementation devenue inadaptée ne compromette la révision de cette dernière (pour une analyse plus détaillée de l’art. 77 LATC, v. RDAF 1996 p. 476). Comme d’autres restrictions au droit de propriété, une telle mesure doit reposer sur l’intérêt public et respecter le principe de la proportionnalité. Sa mise en œuvre doit par conséquent se concilier avec le principe de la stabilité des plans, qui est un aspect du principe plus général de la sécurité du droit et qui doit permettre au propriétaire foncier, comme aux autorités chargées de mettre en œuvre la planification, de compter sur la pérennité des plans d’affectation (ATF 128 I 190 consid. 4.2 p. 198 ; 120 I a 227 consid. 2b p. 232). Dès lors, pour répondre à l’intérêt public, l’application de l’art. 77 LATC suppose que les circonstances se soient sensiblement modifiées depuis l’adoption de la planification en vigueur pour qu’une adaptation de celle-ci apparaisse nécessaire, conformément à l’art. 21 al. 2 de la loi du 22 juin 1979 sur l’aménagement du territoire (LAT; RS 700). Pour justifier l’application de l’art. 77 LATC, l’intention de réviser la réglementation en vigueur doit avoir fait l’objet d’un début de concrétisation et reposer sur des motifs objectifs ; il faut que l’autorité compétente ait procédé au moins à quelques études préliminaires mettant en évidence des problèmes d’affectation et les solutions envisageables pour les résoudre (v. arrêts TA AC.2003.0256 du</w:t>
      </w:r>
    </w:p>
    <w:p>
      <w:r>
        <w:rPr>
          <w:b/>
        </w:rPr>
        <w:t>E. 7</w:t>
      </w:r>
    </w:p>
    <w:p>
      <w:r>
        <w:t>En définitive, il résulte des considérants susmentionnés que le recours doit être rejeté et les décisions communales confirmées. Les frais seront mis à la charge des recourants déboutés, qui devront en outre verser, solidairement entre eux, une indemnité de dépens à la commune qui a procédé avec l’assistance d'un mandataire professionnel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