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AC.2007.0226 vom 25. Juni 2008</w:t>
      </w:r>
    </w:p>
    <w:p>
      <w:r>
        <w:t>VD Tribunal cantonal, 2008-06-25, FR</w:t>
      </w:r>
    </w:p>
    <w:p>
      <w:r>
        <w:rPr>
          <w:b/>
        </w:rPr>
        <w:t xml:space="preserve">Quelle: </w:t>
      </w:r>
      <w:r>
        <w:t>https://mcp.opencaselaw.ch/entscheid/vd_omni_AC.2007.0226</w:t>
      </w:r>
    </w:p>
    <w:p>
      <w:r>
        <w:t>FR: VD_OMNI AC.2007.0226 du 25 juin 2008</w:t>
      </w:r>
    </w:p>
    <w:p>
      <w:r>
        <w:t>IT: VD_OMNI AC.2007.0226 del 25 giugno 2008</w:t>
      </w:r>
    </w:p>
    <w:p>
      <w:pPr>
        <w:pStyle w:val="Heading2"/>
      </w:pPr>
      <w:r>
        <w:t>Regeste</w:t>
      </w:r>
    </w:p>
    <w:p>
      <w:r>
        <w:t>ROUZEAU/Municipalité de Froideville, COMMUNE DE FROIDEVILLE, CAVIN | Frais et dépens mis à la charge de la commune qui a refusé d'ordonner aux constructeurs l'enlèvement d'aménagements en considérant - à tort - que ceux-ci n'étaient pas soumis à autorisation (décision en équité, art. 55 al. 3 LJPA).</w:t>
      </w:r>
    </w:p>
    <w:p>
      <w:pPr>
        <w:pStyle w:val="Heading2"/>
      </w:pPr>
      <w:r>
        <w:t>Erwägungen</w:t>
      </w:r>
    </w:p>
    <w:p>
      <w:r>
        <w:rPr>
          <w:b/>
        </w:rPr>
        <w:t>E. 1</w:t>
      </w:r>
    </w:p>
    <w:p>
      <w:r>
        <w:t>Les décisions attaquées constituent les réponses négatives de la municipalité aux différentes interventions des recourants mettant en cause la conformité avec la zone du village régie par les art. 5 à 14 RPA des aménagements réalisés par la locataire sur la portion du bien-fonds DDP n° 610. Partant de l'idée que l'abri de jardin amovible constitué d'une tente de 3 m sur 3 ¿ démontée chaque hiver ¿ reposant sur une structure tubulaire à quatre pieds, eux-mêmes fixés sur des dalles en béton (d'une surface de 12 m ² ), sans fondation particulière, ne constituait pas une construction ou une installation soumise à autorisation de construire, la municipalité s'est abstenu de vérifier si l'abri de jardin litigieux était ou non conforme aux dispositions légales et réglementaires, ainsi qu'au plan d'affectation légalisé. Certes, la municipalité affirme que la locataire en cause avait sollicité et obtenu l'autorisation d'installer une table et d'entreprendre quelques aménagements afin d'y faire des grillades. Mais on ne trouve aucune trace de cette autorisation ¿ si tant est qu'elle se rapporte aussi à l'abri de jardin litigieux - dans le dossier.</w:t>
      </w:r>
    </w:p>
    <w:p>
      <w:r>
        <w:rPr>
          <w:b/>
        </w:rPr>
        <w:t>E. 2</w:t>
      </w:r>
    </w:p>
    <w:p>
      <w:r>
        <w:t>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w:t>
      </w:r>
    </w:p>
    <w:p>
      <w:r>
        <w:rPr>
          <w:b/>
        </w:rPr>
        <w:t>E. 3</w:t>
      </w:r>
    </w:p>
    <w:p>
      <w:r>
        <w:t>Vu ce qui précède, le recours doit être admis et les décisions entreprises annulées. La cause est renvoyée à la municipalité pour qu'elle examine si l'installation incriminée peut être autorisée notamment sur la base des art. 5 à 14 RPA. Pour le cas où l'installation litigieuse ne serait pas réglementaire, la municipalité devra ordonner la remise en état des lieux en application de l'art. 105 LATC. En raison de la nature de l¿affaire, il se justifie en équité (art. 55 al. 3 LJPA) de percevoir un émolument réduit et d¿allouer des dépens réduits aux recourants, à la charge de la Commune de Froideville.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