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AC.2007.0163 vom 5. November 2007</w:t>
      </w:r>
    </w:p>
    <w:p>
      <w:r>
        <w:t>VD Tribunal cantonal, 2007-11-05, FR</w:t>
      </w:r>
    </w:p>
    <w:p>
      <w:r>
        <w:rPr>
          <w:b/>
        </w:rPr>
        <w:t xml:space="preserve">Quelle: </w:t>
      </w:r>
      <w:r>
        <w:t>https://mcp.opencaselaw.ch/entscheid/vd_omni_AC.2007.0163</w:t>
      </w:r>
    </w:p>
    <w:p>
      <w:r>
        <w:t>FR: VD_OMNI AC.2007.0163 du 5 novembre 2007</w:t>
      </w:r>
    </w:p>
    <w:p>
      <w:r>
        <w:t>IT: VD_OMNI AC.2007.0163 del 5 novembre 2007</w:t>
      </w:r>
    </w:p>
    <w:p>
      <w:pPr>
        <w:pStyle w:val="Heading2"/>
      </w:pPr>
      <w:r>
        <w:t>Regeste</w:t>
      </w:r>
    </w:p>
    <w:p>
      <w:r>
        <w:t>DE CASTRO, CONVERSET/Municipalité de Dommartin, INVESTHOME SA | Défaut d'intégration de deux villas jumelles et une individuelle en raison du fort contraste existant avec l'environnement bâti. Annulation du permis de construire pour ce motif.</w:t>
      </w:r>
    </w:p>
    <w:p>
      <w:pPr>
        <w:pStyle w:val="Heading2"/>
      </w:pPr>
      <w:r>
        <w:t>Erwägungen</w:t>
      </w:r>
    </w:p>
    <w:p>
      <w:r>
        <w:rPr>
          <w:b/>
        </w:rPr>
        <w:t>E. 1</w:t>
      </w:r>
    </w:p>
    <w:p>
      <w:r>
        <w:t>LJPA pour définir l’étendue du cercle des administrés autorisés à agir devant le Tribunal administratif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Cependant, lorsque la décision contestée favorise un tiers, il y a lieu, pour éviter l’action populaire, que le recourant soit touché dans une mesure et avec une intensité plus grandes que quiconque, de façon spéciale et directe. Il doit en outre être dans un rapport spécial, digne d’intérêt et particulièrement étroit avec l’objet du litige (ATF 121 II 174 consid. 2b ;120 Ib 51-52 consid. 2a ; 119 Ib 183-184 consid. 1c).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la parcelle de base dont les recourants sont propriétaires est située presque en face de la parcelle no 28 où sont projetées les villas litigieuses. Ces deux biens-fonds ne sont séparés que par la RC°247d. Les recourants, qui contestent notamment l'intégration des villas projetées dans le bâti existant en raison de leur volumétrie, sont particulièrement touchés par la décision attaquée, dans la mesure où les villas litigieuses seront visibles depuis leur parcelle et porteront atteinte à la vue dont ils bénéficient actuellement sur le vallon de la Mentue. Ils peuvent donc se prévaloir d'un intérêt personnel qui se distingue nettement de l'intérêt général des autres habitants de la commune. Leur qualité pour recourir doit dès lors être admise.</w:t>
      </w:r>
    </w:p>
    <w:p>
      <w:r>
        <w:rPr>
          <w:b/>
        </w:rPr>
        <w:t>E. 2</w:t>
      </w:r>
    </w:p>
    <w:p>
      <w:r>
        <w:t>domaine à bâtir</w:t>
      </w:r>
    </w:p>
    <w:p>
      <w:r>
        <w:rPr>
          <w:b/>
        </w:rPr>
        <w:t>E. 3</w:t>
      </w:r>
    </w:p>
    <w:p>
      <w:r>
        <w:t>aires de prolongement du bâti</w:t>
      </w:r>
    </w:p>
    <w:p>
      <w:r>
        <w:rPr>
          <w:b/>
        </w:rPr>
        <w:t>E. 4</w:t>
      </w:r>
    </w:p>
    <w:p>
      <w:r>
        <w:t>aires de verdure</w:t>
      </w:r>
    </w:p>
    <w:p>
      <w:r>
        <w:rPr>
          <w:b/>
        </w:rPr>
        <w:t>E. 5</w:t>
      </w:r>
    </w:p>
    <w:p>
      <w:r>
        <w:t>aires de constructions d'utilité publique" S'agissant plus particulièrement du domaine à bâtir - dans lequel se trouve la parcelle de la constructrice -, il est régi par les art. 18 à 28 RPGA. L'art. 18 RPGA définit la destination de cette zone comme suit . "Art. 18  destination Ce domaine, constitué en majorité par des espaces libres situés à l'intérieur ou en prolongement immédiat du village, ainsi que par quelques constructions récentes ou sans grand intérêt, se caractérise par des mesures de conservation de la structure traditionnelle de la localité et par des mesures d'intégration des constructions nouvelles ou des reconstructions." Dans le cas présent, les recourants invoquent une violation de l'art. 21 RPGA dans la mesure où la volumétrie, l'orientation et la forme des villas projetées ne respecteraient pas selon eux la typologie rurale des constructions qui se situent dans le périmètre de la zone village et ne s'intégreraient pas dans le bâti existant. Conformément à l'art. 21 1 ère phrase RPGA, consacré au domaine à bâtir, "Par souci d'intégration dans la structure du village, les nouvelles constructions et les reconstructions respecteront dans la règle la volumétrie, l'orientation et la forme des bâtiments." b) Les art. 18 et 21 1 ère phrase RPGA mentionnés ci-dessus constituent des dispositions d’application de l’art. 86 de la loi du 4 décembre 1985 sur l’aménagement du territoire et les constructions (ci-après : LATC ; RSV 700.11), lequel prévoit ce qui suit: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 En l'espèce, le RPGA prévoit des dispositions spécifiques sur l'intégration des nouvelles construction dans la zone village, soit plus particulièrement les art. 18 et 21 1 ère phrase RPGA, qui démontrent une volonté de conservation de la structure traditionnelle de la localité et d'intégration des nouvelles constructions, ainsi que la volonté de garantir lors de nouvelles constructions le respect de la volumétrie, de l’orientation et de la forme des bâtiments environnants. A cet égard, l'inspection locale et les pièces au dossier (dont notamment la photographie de la vue aérienne du village de Dommartin) ont montré que le projet posait problème par rapport à la lignée de bâtiments existants de part et d'autre de la parcelle litigieuse. Ces constructions, qualifiées de “bien intégrées” selon le PPA, sont des fermes, anciennes ou rénovées, présentant des caractéristiques architecturales homogènes, dont un espace "cour" (côté RC 547d) et un espace "jardin" (à l'arrière des bâtiments). Tant leur implantation le long de la route susmentionnée que leur volumétrie sont similaires. Comme le décrit le relevé ISOS produit par les recourants, " [l]e bâti, constitué principalement de fermes souvent accolées et parfois jumelées, suit une implantation parallèle à la rue principale, dans une orientation nord-sud caractéristique du Gros-de-Vaud. Dotées d'importants volumes aux vastes toitures et construites principalement en pierre, les exploitations agricoles répondent à la typologie traditionnelle des fermes vaudoises, mais pour certaines d'entre elles conservent des témoignages, remontant au 16 ème siècle, d'une ancienneté exceptionnelle pour le canton. Les bâtiments profitent souvent d'un jardin potager placé au sud sous la façade pignon de la partie d'habitation et possèdent une avant-cour du côté de la rue, dans quelques cas encore recouverte de pavés de galets, mais le plus souvent aménagée en place de stationnement. " (cf. relevé ISOS, 1 ère version, octobre 2005, p. 2). Or, placées dans un tel contexte, les villas litigieuses, d'une architecture au demeurant relativement banale, ne s'intègrent pas à cet environnement traditionnellement villageois. Certes, les faîtes sont orientés dans la même direction que ceux des constructions voisines; de même, la hauteur des façades est conforme aux exigences réglementaires. Il n'en demeure pas moins que leur volumétrie forme un important contraste avec celle des fermes voisines et porte une atteinte excessive à l'intégrité du tissu bâti ainsi qu'au dégagement sur le vallon de la Mentue (quand bien même les recourants n'ont pas droit au maintien de la vue dont ils bénéficient sur ce vallon). On relèvera par ailleurs que, même si le périmètre ISOS du village de Dommartin n'est pas encore défini et que le relevé produit par les recourants n'est qu'une première version, ce village a néanmoins été qualifié d'"importance régionale". Le vieux village a conservé une bonne homogénéité et comprend une majorité de bâtiments bien intégrés. Enfin, même s'il y a lieu de relever qu'à la sortie du village, en direction de Poliez-Pittet, se trouvent trois groupes de villas mitoyennes relativement récentes et dont l'architecture est assez comparable à celle des villas projetées, force est de constater que ces groupes d'habitation ne se situent pas au milieu de la zone de village traditionnelle, mais bien à son extrémité (cf. conformément aux suggestions particulières de sauvegarde préconisées en p. 3 du relevé susmentionné). En outre, le fait qu'il puisse exister déjà ailleurs dans le village des constructions peu esthétiques et mal intégrées ne saurait justifier que l'on autorise à nouveau de telles constructions dans l'environnement du village ancien. d) Vu ce qui précède, le projet ne respecte manifestement pas les exigences spécifiques posées par l’art. 21 1 ère phrase RPGA, même si l’on tient compte du pouvoir d’appréciation qui doit être reconnu à la municipalité. 3. Le considérant qui précède suffit à sceller le sort du recours, ce qui dispense le Tribunal administratif d'entrer en matière sur les autres moyens invoqués par les recourants. Il convient par conséquent d’admettre le pourvoi et d’annuler la décision entreprise. Conformément à la pratique du tribunal, les frais du présent arrêt sont mis à la charge de la constructrice. En revanche, les recourants, qui obtiennent gain de cause mais sans être assistés d'un mandataire professionnel,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