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AC.2007.0156 vom 29. Dezember 2008</w:t>
      </w:r>
    </w:p>
    <w:p>
      <w:r>
        <w:t>VD Tribunal cantonal, 2008-12-29, FR</w:t>
      </w:r>
    </w:p>
    <w:p>
      <w:r>
        <w:rPr>
          <w:b/>
        </w:rPr>
        <w:t xml:space="preserve">Quelle: </w:t>
      </w:r>
      <w:r>
        <w:t>https://mcp.opencaselaw.ch/entscheid/vd_omni_AC.2007.0156</w:t>
      </w:r>
    </w:p>
    <w:p>
      <w:r>
        <w:t>FR: VD_OMNI AC.2007.0156 du 29 décembre 2008</w:t>
      </w:r>
    </w:p>
    <w:p>
      <w:r>
        <w:t>IT: VD_OMNI AC.2007.0156 del 29 dicembre 2008</w:t>
      </w:r>
    </w:p>
    <w:p>
      <w:pPr>
        <w:pStyle w:val="Heading2"/>
      </w:pPr>
      <w:r>
        <w:t>Regeste</w:t>
      </w:r>
    </w:p>
    <w:p>
      <w:r>
        <w:t>MÜLLER, BRINER, STEFFEN, STEFFEN, STEFFEN, MEYER/Municipalité de et à Mies, Service de l'environnement et de l'énergie, VON WARTBURG, VON WARTBURG, MIMOUNI, HADJAN, BONZEMBA | L'autorité de recours est liée par le dispositif et les motifs de son arrêt de renvoi. Confirmation, in casu, de ce que la décision municipale attaquée est conforme aux instructions qui y étaient contenues. Confirmation de l'ordre d'enlever les portes litigieuses avec menace d'exécution par substitution, le délai d'exécution étant refixé par le tribunal. C'est en vain que les recourants tentent de remettre en cause le constat, formulé dans cet arrêt, selon lequel cet aménagement viole la distance minimale à la limite et doit être enlevé.</w:t>
      </w:r>
    </w:p>
    <w:p>
      <w:pPr>
        <w:pStyle w:val="Heading2"/>
      </w:pPr>
      <w:r>
        <w:t>Erwägungen</w:t>
      </w:r>
    </w:p>
    <w:p>
      <w:r>
        <w:rPr>
          <w:b/>
        </w:rPr>
        <w:t>E. 1</w:t>
      </w:r>
    </w:p>
    <w:p>
      <w:r>
        <w:t>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 La notion d'aggravation de l'atteinte à la réglementation en vigueur s'apprécie eu égard au but visé par la norme transgressée (v. en dernier lieu AC.2001.0239 du 7 juillet 2005 et les réf citées AC.2001.0161 du 7 février 2002; AC.2000.0182 du 5 juin 2003). En l'espèce, la fermeture du volume situé sous la marquise a pour effet de rapprocher des villas voisines, jusqu'à une distance inférieure au minimum réglementaire, la surface de l'atelier utilisée pour le travail. Il en résulte une aggravation de l'atteinte à la réglementation qui a précisément pour but de tenir à distance les locaux marqués par la présence humaine. Il s'agirait même d'une atteinte nouvelle à la réglementation si l'on devait considérer (on y reviendra plus bas) que la marquise n'aurait pas à respecter, du moins en l'absence de fermeture du volume qu'elle abrite, la distance réglementaire minimale par rapport à la limite. Il importe peu à cet égard que l'abri procuré par la marquise ait permis déjà dans le passé l'exercice de certaines activités. Le fait que ce volume soit désormais fermé et qu'il soit par conséquent susceptible d'être chauffé et utilisé en hiver entraîne une augmentation de la présence humaine - et donc une aggravation de l'atteinte - à tout le moins durant la période hivernale où, de l'aveu même de l'exploitant, on ne travaillait pas. Certes, les constructeurs ont fait valoir que la fermeture que permettent les portes litigieuses améliorerait la situation pour les voisins mais cela ne change rien au fait que l'on créerait un volume affecté au travail toute l'année à une distance inférieure au minimum réglementaire. Il semble d'ailleurs que les recourants ne soient pas parvenus à obtenir de l'exploitant qu'il travaille avec les portes fermées comme la Municipalité a prévu de l'exiger et l'on peut même, au vu des observations du représentant du Service de l'environnement et de l'énergie, douter de l'efficacité de l'isolation phonique procurée par ces portes. 3.       Enfin, c'est en vain que les constructeurs et la Municipalité font valoir qu'en raison de la dimension de la marquise, l'espace qu'elle abrite compterait dans la surface bâtie. La règle selon laquelle les avants-toits excédant 1,50 mètre compte dans la surface bâtie (que l'on trouve effectivement à l'art. 55 du Règlement communal) est destinée à limiter la densité des constructions et ne peut pas avoir pour conséquence que les surfaces couvertes non fermées situées dans les espaces dits réglementaires pourraient être librement fermées et vouées sans autre à l'habitation ou au travail. 4.       Vu ce qui précède, la décision attaquée, en tant qu'elle autorise la maintien de la fermeture installée sans autorisation, ne peut pas être maintenue. 5.       Les recourants concluent également à la démolition des fermetures latérales de l'espace situé sous la marquise. De fait, les documents de l'enquête publique paraissent inclure la fermeture latérale dans l'objet de l'enquête, si bien que cette fermeture fait effectivement partie du litige. On rappellera cependant que le voisin qui ne proteste pas immédiatement contre une construction illicite est déchu du droit de s’en plaindre ultérieurement (AC.1994.0084 du 15 janvier 1996 et les renvois; toutefois, qu’il soit ainsi privé de la faculté de contraindre l’autorité à agir en vue de faire rétablir une situation conforme au droit ne doit pas avoir d’effet sur ses droits de partie à une procédure engagée de son chef par l’autorité ou par le constructeur lui-même, AC.2004.0263 du 12 juillet 2005). En l'espèce, l'instruction a permis d'établir que les fermetures latérales de l'espace située sous la marquise avaient été autorisées - de manière très peu formelle il est vrai - par la Municipalité il y a très longtemps déjà. Le principe de la bonne foi empêcherait la Municipalité d'en ordonner la démolition. Quant aux recourants, ils sont à tard pour intervenir à l'encontre de cet aménagement déjà ancien. 6.       Au vu de ce qui précède, la fermeture de l'espace situé sous la marquise à l'aide de portes sectionnelles ne peut pas être autorisée. Le tribunal renoncera cependant à réformer directement la décision municipale en ordonnant l'enlèvement de cet aménagement. Il semble en effet que l'autorité cantonale soit amenée à intervenir au sujet des conditions de travail dans l'atelier ainsi qu'à l'égard de son isolation phonique qui pourrait se révéler insuffisante même en cas de fermeture des anciennes portes en bois et vitrages à vantaux verticaux. Il s'agit de ne pas empêcher la Municipalité de coordonner sa nouvelle décision avec celle que rendront éventuellement les autorités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