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AC.2007.0078 vom 30. Mai 2008</w:t>
      </w:r>
    </w:p>
    <w:p>
      <w:r>
        <w:t>VD Tribunal cantonal, 2008-05-30, IT</w:t>
      </w:r>
    </w:p>
    <w:p>
      <w:r>
        <w:rPr>
          <w:b/>
        </w:rPr>
        <w:t xml:space="preserve">Quelle: </w:t>
      </w:r>
      <w:r>
        <w:t>https://mcp.opencaselaw.ch/entscheid/vd_omni_AC.2007.0078</w:t>
      </w:r>
    </w:p>
    <w:p>
      <w:r>
        <w:t>FR: VD_OMNI AC.2007.0078 du 30 mai 2008</w:t>
      </w:r>
    </w:p>
    <w:p>
      <w:r>
        <w:t>IT: VD_OMNI AC.2007.0078 del 30 maggio 2008</w:t>
      </w:r>
    </w:p>
    <w:p>
      <w:pPr>
        <w:pStyle w:val="Heading2"/>
      </w:pPr>
      <w:r>
        <w:t>Regeste</w:t>
      </w:r>
    </w:p>
    <w:p>
      <w:r>
        <w:t>BOURGEOIS/Municipalité de Vullierens, Service du développement territorial, Service Immeubles, Patrimoine et Logistique | Permis de construire; demande d'extension d'une serre maraîchère située en partie en zone du village (2/3) et en partie en zone agricole (1/3); il n'est pas contesté que le projet d'agrandissement est conforme à la zone agricole, mais il existe un intérêt prépondérant qui s'oppose à l'octroi de l'autorisation cantonale requise hors zone à bâtir; en effet, le village de Vullierens est inscrit comme un site d'importance nationale à protéger (annexe 1 de l'OISOS) et la serre est située dans un périmètre d'échappée dans l'environnement (EE) qui a une signification prépondérante dans le site (X) et dont l'objectif de sauvegarde retenu prévoit le maintien de l'état existant (a); or, la serre existante porte déjà une atteinte importante aux caractéristiques du site par son impact visuel non négligeable; cette atteinte serait inévitablement aggravée par l'agrandissement projeté, puisque celui-ci s'élève à 1'120 m2, ce qui représente un peu plus de la moitié de l'installation existante; confirmation du refus du SAT de délivrer une autorisation spéciale hors zone à bâtir.</w:t>
      </w:r>
    </w:p>
    <w:p>
      <w:pPr>
        <w:pStyle w:val="Heading2"/>
      </w:pPr>
      <w:r>
        <w:t>Erwägungen</w:t>
      </w:r>
    </w:p>
    <w:p>
      <w:r>
        <w:rPr>
          <w:b/>
        </w:rPr>
        <w:t>E. 2</w:t>
      </w:r>
    </w:p>
    <w:p>
      <w:r>
        <w:t>. » Luc Bourgeois s’est déterminé sur le compte rendu résumé d’audience le 18 octobre 2007 en rectifiant certains chiffres relatifs à l’étendue de son domaine agricole. Le Service de l'aménagement du territoire s'est également déterminé sur le compte rendu de l'audience le 5 octobre 2007. Considérant en droit 1. a) Selon l'art. 22 de la loi fédérale sur l'aménagement du territoire du 22 juin 1979 (ci-après : LAT), aucune construction ou installation ne peut être créée ou transformée sans autorisation de l’autorité compétente (al. 1) ; l’autorisation est délivrée si la construction ou l’installation est conforme à l’affectation de la zone (al. 2 let. a). L'art. 103 al. 1 de la loi vaudoise sur l'aménagement du territoire et les construction s du 4 décembre 1985 (LATC) reprend cette exigence de la manière suivante : « Aucun travail de construction ou de démolition, en surface ou en sous-sol, modifiant de façon sensible la configuration, l'apparence ou l'affectation d'un terrain ou d'un bâtiment, ne peut être exécuté avant d'avoir été autorisé. (…). » L'art. 103 LATC a été modifié par l'adjonction de deux nouveaux alinéa s pour préciser que certains travaux de minime importance n ’étaient e seraient pas soumis à une autorisation de construire; mais ces nouvelles dispositions n'ont pas de portée propre par rapport à la notion de construction et d'installation de l'art. 22 al. 1 LAT, qui est une notion de droit fédéral directement applicable et dont la portée est définie par la jurisprudence du Tribunal fédéral (voir la jurisprudence citée par Ruch, Commentaire LAT , ad art. 22 , N° 24 à 35). L'art. 104 LATC précise encore que la municipalité s'assure d'une part que le projet est conforme aux dispositions légales et réglementaires et aux plans d'affectation légalisés ou en voie d'élaboration avant de délivrer le permis (al. 1) et qu'elle vérifie d'autre part si les autorisations cantonales et fédérales préalables nécessaires ont été délivrées . (al. 2). b) En l’espèce, le projet d'extension de la serre est manifestement une installation soumise à autorisation au sens de l'art. 22 al. 1 LAT. L l e projet ne peut donc être autorisé que s'il est conforme à l'affectation de la zone (art. 22 al. 2 let. a LAT), la municipalité devant s'assurer qu'il respecte les dispositions du plan d'affectation légalisé sur la parcelle en cause. La serre maraîchère existante et l'extension litigieuse e s on t située s en partie en zone du village pour 2/3 et en partie en zone agricole pour 1/3. On est donc en présence d’un projet de construction localisé sur deux zones différentes. Or, en pareil cas, la jurisprudence de l’ancienne commission de recours en matière de construction, reprise par le Tribunal administratif, précise que le projet doit satisfaire aux exigences des règles relatives à chacune des zones, seul faisant exception le cas d’un bâtiment formé de deux corps distincts dont chacun serait implanté sur l’une des zones (RDAF 1985 p. 496-497 ; et arrêts du Tribunal administratif AC.2003.0197 du 5 avril 2004 consid. 1b et AC . 1992.0121 du 28 juin 1993). c) Ainsi, le projet d'extension de la serre doit à la fois être conforme aux règles régissant la zone du village et à celles relatives à la zone agricole. A cet égard, le Service de l'aménagement du territoire a admis la conformité des travaux d'agrandissement de la serre à l'affectation de la zone agricole, mais il a refusé l'autorisation spéciale requise hors de la zone à bâtir pour le motif qu'il exist er ait des intérêts prépondérant s liés à la protection du paysage qui s'oppos er aient à la réalisation des travaux liés à la protection du paysage . En ce qui concerne la conformité à la zone du e village, le Service de l'aménagement du territoire relève que l'extension de la serre se situe devant le bâtiment du recourant qui a bénéficié de la note 3 lors du recensement architectural. Il se réfère à ce sujet au préavis du Service Immeuble s, P p atrimoine et L l ogistique, Section Monuments et Sites. Il relève encore que les serres existantes avaient été admises sur la base d'une dérogation au coefficient d'occupation du sol de 0.5 et que l'extension avait pour effet d'aggraver cette dérogation et ne devrait pas être admise pour ce motif également. aa) Selon la jurisprudence, les constructions agricoles, pour être conformes à la zone agricole, doivent être adaptées, notamment par leur importance et leur implantation, aux besoins objectifs de l'exploitation en cause ( ATF 114 Ib 131 consid.</w:t>
      </w:r>
    </w:p>
    <w:p>
      <w:r>
        <w:rPr>
          <w:b/>
        </w:rPr>
        <w:t>E. 3</w:t>
      </w:r>
    </w:p>
    <w:p>
      <w:r>
        <w:t>p. 133/ 134 et les références citées). Ces principes, dégagés par le Tribunal fédéral sous l'empire de l'ancien art. 22 LAT, ont été confirmés par la novelle du 20 mars 1998: l'art. 16a LAT prévoit ainsi désormais que ne sont conformes à l'affectation de la zone agricole que les constructions qui sont nécessaires à l'exploitation agricole ou à l'horticulture productrice. Cette exigence a été reprise à l'art. 34 al. 4 l e i t. a de l'ordonnance du 28 juin 2000 sur l'aménagement du territoire ( ci-après : OAT ; RS 700.1 ) qui prévoit qu'une autorisation pour une construction en zone agricole ne peut être délivrée que si cette dernière est nécessaire à l'exploitation en question. Le fait qu'une activité agricole remplisse les conditions énoncées aux art. 16 et 16a LAT ne signifie pas encore qu'une autorisation de construire une nouvelle installation servant à l'exploitation agricole en application de l'art. 22 LAT doive nécessairement être délivrée; en effet, l'autorité compétente doit encore examiner encore si la nouvelle activité peut être réalisée dans les locaux existants ( ATF 123 II 499 consid. 3b/cc p. 508); si tel n'est pas le cas, elle doit en core outre vérifier que la nouvelle construction n'est pas surdimensionnée par rapport à l'utilisation envisagée et les besoins de l'exploitation et qu'aucun intérêt prépondérant ne s'oppose à l'implantation du bâtiment à l'endroit prévu; sur ce point également, le nouveau droit correspond à l'ancien (art. 34 al. 4 OAT; ATF 125 II 278 consid. 3a p. 281 et les arrêts cités; arrêt 1A.86/2001 du 21 mai 2002 consid. 4, paru à la SJ 2002 I 541; arrêt 1P.489/2000 du 29 mai 2001 consid. 4b, publié à la SJ 2001 I p. 581 et les références citées). L'admission de la conformité d'un projet de bâtiment ou d'installation doit donc résulter d'une appréciation globale du système d'exploitation et des moyens mis en oeuvre pour sa réalisation ( ATF 117 Ib 270 consid . 3a p. 279, 502 consid. 4a p. 504 et la référence citée). A cet égard , il convient de prendre en considération la situation actuelle de l'exploitation et de ne tenir compte de son développement . bb) En l'espèce, il n'est pas contesté que le projet d'agrandissement des serres est adapté es , notamment par son leur importance et son leur implantation, aux besoins objectifs de l'exploitation en cause. L l 'agrandissement ne paraît pas surdimensionné mais plutôt adapté approprié à une stratégie de développement de l'exploitation tenant compte des impératifs économique s et des contraintes. Le Service de l'agriculture rappelle à ce propos que l'exploitation du recourant comprend une surface agricole utile de 32 , . 80 ha. La production comprend des grandes cultures (1</w:t>
      </w:r>
    </w:p>
    <w:p>
      <w:r>
        <w:rPr>
          <w:b/>
        </w:rPr>
        <w:t>E. 8</w:t>
      </w:r>
    </w:p>
    <w:p>
      <w:r>
        <w:t>0 ha de céréales; 7 t , . 14 ha de colza ; , 6 , . 66 ha de bett e rave s sucrières) , des cultures maraîchères (2 , . 25 ha d'asperge s en plein champ s et 0 , . 20 ha de tomates sous abris) , et à la culture de petits fruits (1 , . 17 ha de fraises annuelles). Selon le Service de l ’agriculture, l L e rehaussement de la serre existante et son agrandissement permettront d'augmenter la production et donc l'offre de tomates de qualité, particulièrement en début de saison, et ce qui permettra aussi de rationaliser le travail (serres accessibles aux machines) ; . Selon le Service de l'agriculture, l l 'impact de ce projet sur l'exploitation agricole , influencera positivement sa viabilité à long terme. L'extension des serres permet tra en outre de rationaliser l'exploitation en utilisant l'infrastructure existante pour le conditionnement et le stockage. Les éléments apportés par le Service de l’agriculture confirment la conformité du projet à la zone agricole. cc) Il reste à examiner la question de sasvoir s'il existe un intérêt prépondé ra ar nt s'opposant au projet. L'art. 34 al. 4 OAT précise en effet que l'autorisation ne peut être délivrée que si aucun intérêt prépondérant ne s’oppose à l’implantation de la construction ou de l’installation à l’endroit prévu (let. b). L'art. 81 al. 2 LATC reprend l'exigence de l'art. 34 al. 4 let. b OAT en précisant , pour les constructions ou installations conformes à l'affectation de la zone agricole , que l'autorisation est accordée à condition qu'aucun intérêt public prépondérant ne s'y oppose et que le terrain soit équipé. La notion d'intérêt prépondérant comprend notamment la protection des intérêts liés à la création de la zone agricole, en particulier la nécessité d'assurer la base d’approvisionnement du pays à long terme, de sauvegarder le paysage et les espaces de délassement et d'assurer l’équilibre écologique (voir art. 16 al. 1 LAT). Mais il s'agit aussi de tous les autres intérêts qui apparaissent pertinents dans les travaux de planification, notamment les intérêts mentionnés dans les buts et principes régissant l'aménagement du territoire aux art. 1 et 3 LAT ainsi que ceux relatifs à la protection de l'environnement au sens large et à la protection contre les dangers naturels. Font ai nsi sni partie des intérêts prépondérant s au sens de l'art. 34 al. 4 let. b OAT, les intérêts qui résultent de la loi fédérale sur la protection de la nature et du paysage du 1 er juillet 1966 ( ci-après : LPN), en particulier lorsque le projet est prévu dans un site porté dans l'un des inventaires fédéraux mentionnés à l'art. 5 LPN. L'art. 6 al. 1 LPN prévoit en effet que l'inscription d'un objet d'importance nationale dans un inventaire fédéral indique que l'objet mérite spécialement d'être conservé ou en tous les cas d'être ménagé le plus possible. dd) En l'espèce , . le village de Vu i ll i erens est inscrit dans l'annexe 1 de l'ordonnance du 9 septembre 1981 concernant l'inventaire fédéral des sites construits à protéger en Suisse ( ci-après : OISOS) comme un site d'importance nationale à protéger. Selon l'art. 5 al. 1 LPN, l'inventaire doit contenir au minimum, la description exacte des objets (let. a); les raisons leur conférant une importance nationale (let. b); les dangers qui peuvent les menacer (let. c); les mesures de protection déjà prises (let. d); la protection à assurer (let. e) ainsi que les propositions d’amélioration (let. f). L'art. 2 OISOS prévoit toutefois que la description des objets, leur présentation sous forme de plans, de photographie s , et de textes, ainsi que les indications dont il faut faire état selon l'art. 5 al. 1 LPN seront publiées séparément, le Département fédéral de l'intérieur étant chargé de cette publication. Le Service du développement territorial a produit la La documentation relative à la description de l'objet mis à l'inventaire a été versée au dossier . En ce qui concerne les raisons qui confère nt au village de Vu i ll i erens une imp or ro tance nationale, il est précisé ce qui suit : « " Appréciation du site construit dans le cadre régional Village à vocation essentiellement agricole. Vullierens occupe une situation prépondérante, sur un léger replat dominant un flanc de vallée pratiquement libre de toute construction. La silhouette est rendue particulièrement spectaculaire par la présence d’un noyau seigneurial dont les aménagements et prolongements extérieurs structurent une vaste portion de campagne. Les qualités spatiales sont prépondérantes aussi bien le long de la rue centrale, expression d’un tissu vernaculaire, que dans une série de perspectives planifiées et conçues au 18 e siècle et qui relient entre elles différentes entités construites, en particulier le noyau seigneurial, la frange ouest du village et le complexe cure-église. Les qualités historico-architecturales sont prépondérantes, et dues notamment à la présence de l’importante maison de campagne du début du 18 e siècle, centre d’un noyau seigneurial et d’une composition d’allées et de percées, formant l’une des plus vastes planifications classiques d’ensemble du canton. A cela s’ajoute une profusion d’éléments architecturaux de grande valeur, illustrant l’architecture rurale aussi bien que bourgeoise, et se trouvant toutes en un remarquable état de conservation. » En ce qui concerne les dangers qui peuvent menacer l'objet à l'inventaire et la protection à assurer , la documentation de l'inventaire ISOS délimite sur le plan du village le périmètre d'une échappée dans l'environnement (EE I) englobant l'entier de la parcelle n° 47 du recourant avec les bâtiments d'exploitation et qui s'étend sur tout le coteau viticole situé dans le prolongement sud-est du village. Les commentaires figurant dans la documentation apportent encore les précisions suivantes : « " (…) le coteau en aval du site (EE I), indispensable à la silhouette, devrait être protégé contre de tout nouveau développement construit, l'implantation de la fonction résidentielle pouvant très bien être concentrée dans la zone amont située à l'ouest du site (EE IV). » " ee) Il ressort encore de la documentation concernant l'inventaire , que l'échappée dans sur l'environnement présente une signification prépondérante dans le site (X) et que l'objectif de sauvegarde retenu (a) prévoit la "Sauvegarde de l'état existant". L'ancienne ferme construite sur la parcelle n° 47 est aussi identifiée comme un élément individuel répertorié sous n° 0.0.23 dont la qualité prépondérante (X) implique la sauvegarde de la substance du bâtiment (A). Pour apprécier l'existence d'un intérêt prépondérant , il ne suffit toutefois pas de constater de manière abstraite que le village est porté à l'inventaire fédéral des sites construits, mais il faut encore examiner si concrètement, le projet litigieux, en tenant compte de toutes ses caractéristiques, est de nature à porter atteinte à une des qualités essentielles du site en question. En l'espèce, les serres existantes sont déjà comprises dans le périmètre EE I et la volumétrie ainsi que l'effet lumineux causé par les du aux reflets des matériaux translucides recouvrant les serres en font un objet qui se distingue très nettement dans la silhouette du village. Le tribunal a constaté lors de l’inspection locale que le tissus villageois v V illage de Vu i ll i erens et la qualité de son insertion dans le site présent ai e n t un intérêt architectural et historique important mis en valeur par la qualité de son intégration dans le paysage . En outre, l L a silhouette du village est caractérisée par la présence d’un « noyau seigneurial » sur la partie ouest qui la rend « spectaculaire » (inventaire ISOS). L a partie est du village, avec L les toitures caractéristiques des anciennes fermes vaudoises et le c lo cher de l'église , qui dessine nt l a structure particulière du tissu villageois la silhouette au sommet du coteau viticole , sur la partie est mérite également une attention particulière par l a es présence des anciennes fermes et le clocher de l'église dominant les toitures caractéristiques des fermes vaudoises . La serre maraîchère du recourant, placée devant son l' ancienne ferme, à un endroit qui surplombe le coteau de vignes et de vergers , porte déjà une atteinte non négligeable importante aux caractéristiques du site par son impact visuel non négligeable. Or, cet impact serait inévitablement aggravé par l’agrandissement projeté qui est conséquent, puisqu’il s’élève à 1'120 m2, ce qui représente soit un peu plus de la moitié de l’installation existante et par l'augmentation de la hauteur des serres . Il ressort en outre de la documentation établie dans le cadre de l'inventaire ISOS que le secteur prévu pour l'agrandissement de la serre est considéré comme un secteur à protéger au sens de l'art. 5 let. e LPN qui mérite spécialement d'être conservé ou en tous les cas d'être ménagé le plus possible au sens de l'art. 6 al. 1 LPN. Or le projet d'extension de la serre ne permet pas de répondre aux exigences de l'art. 6 al. 1 P L P N en ce sens qu'il aggrave l'atteinte à un site qui est indispensable à la protection de la silhouette du village et qui devrait être protégé de tout développement. C'est donc à juste titre que le Service de l'aménagement du territoire a considéré qu'il existait un intérêt prépondérant s'opposant à l'octroi de l'autorisation spé ci ic ale pour les construction s hors de la zone à bâtir au sens des art. 34 al. 4 let. b OAT et 81 al. 2 LATC. Il est vrai qu’une grande partie de l’agrandissement projeté de la serre se trouve en zone du village ; la municipalité n’a toutefois pas statué sur la conformité du projet à la zone à bâtir et la décision attaquée ne porte que sur la question de la conformité à la zone agricole, qui fait seule l’objet du recours. En tous les cas, à défaut de l’octroi de l’autorisation cantonale requise, le permis de construire ne peut être délivré (voir art. 75 RATC). 1. Bien que le refus de l'autorisation cantonale préalable ne permet pas l'octroi du permis de construire (art. 75 al. 1 RATC), il convient d'examiner aussi la conformité du projet d'extension de la serre par rapport à la réglementation de la zone à bâtir. a) La loi fédérale sur l'aménagement du territoire a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 oor , Commentaire 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 oor , Commentaire s LAT, art. 17, no 7).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 oor , Commentaire 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s adéquates sans pénaliser le solde de la parcelle (M oor , Commentaire 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 oor , Commentaire s LAT, art. 17, no 80). Font ainsi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 oor , Commentaire LAT, art. 17, nos 83 à 93). b) En droit vaudois, la loi sur l'aménagement du territoire et les constructions du 4 décembre 1985 ( LATC )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 (al. 2). c) La Commune de Vu il lerens a adopté un plan général d'affectation le 29 juin 1994 qui a été approuvé par le Conseil d'Etat le 23 décembre 1994 avec le règlement sur le plan général d'affectation et la police des constructions (RPGA). L'art. 6 RPGA défin t i la destination e la zone e village de la manière suivante : , « Cette zone est destinée à l’habitation et aux activités en relation avec le commerce, l’agriculture et l’artisanat non gênant pour le voisinage. Les dispositions applicables favorisent l’occupation des volumes existants et l’aménagement des espaces libres, tout en garantissant le respect des caractéristiques architecturales essentielles des bâtiments traditionnels et la protection des qualités urbanistiques du village. La municipalité prend garde à ce que tout projet de transformation, reconstruction ou construction participe à la réalisation de ces objectifs. L'art. 12 RPGA comporte une règle particulière concernant l'intégration des constructions dans le site construit. Selon cette disposition, toute construction, reconstruction, agrandissement, transformation, ainsi que l’aménagement extérieur, doit respecter le site bâti et non bâti ainsi que le caractère des lieux (al. 1). La structure d’ensemble doit être préservée et conditionner l’implantation des nouvelles constructions. Le schéma d’intention propose des solutions d’intégration (al. 2). Cette disposition a une portée plus restrictive et bien distincte de celle de la clause générale d'esthétique en ce sens qu'elle pose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conformément au principe de droit fédéral posé à l'art. 17 al. 1 let. c LAT (voir les arrêts AC 2006.0044 du 30 octobre 2006 et AC 2003.0204 du 21 décembre 2004). c ) En l'espèce, l'agrandissement de la serre n'est en en lui-même pas contraire à la destination de la zone telle qu'elle est fixée à l'art. 6 al.1 RPGA dès lors que les activités en relation avec l'agriculture sont admise. Il se pose en revanche la question de la conformité aux exigences spécifiques d'intégration posées à l'art. 12 RPGA. Les disposition des art. 5 et 6 LPN s'appliquent aussi à l'intérieur de la zone à bâtir et constitue des éléments d'appréciation pour l'évaluation de la qualité du site touché et des impératifs de protection attachés à ce site. Or, le projet litigieux est prévu dans un secteur sensible, qui se prolonge sur tout le coteau viticole situé dans le prolongement sud-est du village devant être préserv er de tout développement afin d'assurer la protection de la silhouette du village. Ainsi dans l'application de l'art. 12 RPGA, l'autorité municipale doit aussi tenir compte des contraintes résultant de l'inventaire ISOS (art. 6 LPN). aa) La parcelle du recourant comprend un bâtiment d’habitation ECA n° 108 qui bénéficie de la note 3 attribuée lors du recensement architectural du canton de Vaud . et qui figure également à l’inventaire ISOS en qualité d’élément individuel à protéger et dont la substance doit être sauvegardée. Il y a toutefois une distinction à opérer entre des bâtiments qui font l’objet du recensement architectural du canton de Vaud selon l’art. 30 RPNMS et ceux qui sont mis à l’inventaire selon l’art. 31 RPNMS (arrêt TA AC.2006.0113 du 12 mars 2007). La directive cantonale concernant le recensement architectural du canton de Vaud, dans l’édition de mai 2002, comporte une classification de tous les bâtiments recensés allant de la note 1 à la note 7. bb) La note 1 comprend les bâtiments d’importance nationale. Le monument a une valeur justifiant un classement comme monument historique et en tous les cas est inscrit à l’inventaire. Le monument est alors à conserver dans sa forme et sa substance et aucun travail d’entretien, de restauration ou de transformation ne devrait y être effectué sans une étude archéologique préalable et une recherche d’archives ainsi que l’établissement d’une documentation. La note 2 recense les monuments d’importance régionale. L’édifice devrait être conservé dans sa forme et sa substance ; des modifications peuvent être envisagées sans qu’elles n’en altèrent le caractère. Les monuments d’importance régionale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Selon la directive cantonale, le bâtiment en note 3 n’a plus une valeur justifiant le classement comme monument historique. Toutefois, les bâtiment en note 3 ont été inscrit à l’inventaire jusqu’en 1987. Mais, d epuis, même si cette mesure reste possible de cas en cas, elle n’est plus systématique. Les objets recensés en note 3 sont placés sous la protection générale régie par l’art. 46 LPNMS. La jurisprudence a précisé que l’évaluation et la notation des bâtiments effectuée dans le cadre du recensement architectural, même si elle ne déploie pas un effet juridique contraignant, constitue un élément d’appréciation important pour les autorités chargées de l’aménagement du territoire lors de l’adoption des zones à protéger prévues par l’article 17 al. 1 let tre c LAT. L’appréciation sur la valeur d’un bâtiment peut également entrer en ligne de compte dans la procédure de demande de permis de construire lorsque l’autorité applique les règles concernant l’intégration des constructions (voir notamment les arrêts TA AC.2006.0237 du 30 juillet 2007, AC.2006.0113 du 12 mars 2007, AC.2004.0031 du 21 février 2006, AC.2004.0003 du 29 décembre 2005, AC.2003.0204 du 21 décembre 2004, AC.2002.0128 du 12 mars 2004, AC 2002.0128 du</w:t>
      </w:r>
    </w:p>
    <w:p>
      <w:r>
        <w:rPr>
          <w:b/>
        </w:rPr>
        <w:t>E. 12</w:t>
      </w:r>
    </w:p>
    <w:p>
      <w:r>
        <w:t>mars 2007, 2004.0003 du 29 décembre 2005 AC 2006.0137 du 30 juillet 2007 ). Le recensement des bâtiments établi selon l'art. 30 RPNMS ne comprend pas les sites construits ni l'évaluation de la qualité de l'environnement construit dans lequel s'insert le bâtiment. Il est vrai que la réglementation cantonale prévoit l'établissement d'un recensement des paysages, localités et sites construit servant de base à l'adoption d'un inventaire cantonal sur les sites construits dignes d'intérêt (art. 26 et 27 RPNMS). Mais le département compétent n'a pas encore entrepris un tel recensement, et il se pose de toute manière la question de savoir si un tel recensement ne ferait pas double emploi avec toute la documentation établie dans le cadre des travaux préparatoire de l'inventaire ISOS; cette documentation , est le résultat d'un travail d'analyse approfondi et détaillé du site construit, effectué en étroite collaboration avec le canton et peut servir de base à l'évaluation de la qualité des localités et sites construits du canton pour l'inventaire cantonal prévu à l'art. 27 RPNMS , et pourrait même être reprise et adoptée comme inventaire cantonal pour les sites construits dignes d'intérêt. Lorsque le site construit figure déjà à l'inventaire fédéral, au sens de l'art. 5 LPN, comme c'est le cas pour le village de Vui ll erens, les objectifs de protection qui résultent de la documentation de l'inventaire ISOS doivent s'apprécier dans le cadre de l'application de l'art. 6 al. 1 LPN. Alors que l'inscription d'un objet dans un inventaire cantonal nécessite l'octroi d'une autorisation spéciale cantonale pour tous travaux touchant l'objet mis à l'inventaire (art. 17 LPNMS), l'inscription d'un site construit à l'inventaire fédéral n'implique pas une telle autorisation. Dans la zone à bâtir, il appartient à la municipalité, dans le cadre de ses compétences propre en matière d'autorisation de construire, d'appliquer les principes matériels qui résultent de l'art. 6 al. 1 LPN en élaborant les plans directeurs et les plans d'affectation et en statuant sur la demande de permis de construire. Dans la procédure d'autorisation de construire, le département concerné garde toutefois la compétence de faire opposition aux travaux projetés (art. 110 LATC) et, le cas échant, de recourir auprès du Tribunal cantonal contre la décision municipale levant son opposition (art. 104a LATC et arrêt AC 2001.0159 du 23 février 2006, consid. 3a). d ) Cela étant précisé, le tribunal constate que la municipalité n'a pas statué sur la demande de permis de construire et qu'elle s'est limitée à transmettre au recourant la synthèse de la c entrale des autorisation ( CAMAC ) comprenant la décision du Service de l'aménagement du territoire. Mais l'appréciation qui a été faite par l'autorité cantonale pour statuer sur l'autorisation de construire en zone agricole est aussi valable pour évaluer les impacts du projet d'agrandissement de la serre dans la zone à bâtir, sur le tissu villageois, en particulier sur la silhouette du village. La surélévation de la serre ainsi que son agrandissement par la construction d'une nouvelle travée , ont des impacts trop importants sur le site construit dans un espace sensible du village et exposé à la vue, pour être compatible avec les impératifs de protection résultant de l'inventaire fédéral ISOS (voir consid. 1 c/ee ci-dessus). En effet, la serre maraîchère du recourant, placée à un endroit qui surplombe le coteau de vignes, vergers et champs susmentionné, représente déjà une certaine atteinte aux caractéristiques urbanistiques du site par le fait qu’elle a un impact visuel non négligeable. Or, ce dernier sera inévitablement aggravé par l’agrandissement projeté qui est conséquent, puisqu’il s’élève à 1'120 m2, soit un peu plus de la moitié de l’installation existante. S’agissant enfin de la nécessité alléguée par le recourant de construire des serres supplémentaires pour la survie de son entreprise, il faut relever qu’il bénéficie d’une autorisation à cette fin sur sa parcelle n° 159 sise en zone agricole ; même si la construction de nouvelles serres sur ce terrain nécessite des investissements relativement important ces installatons lui permettrait d'obtenir les revenus qui lui f eraie nt défaut par l’usage de cette autorisation . Par surabondance, le tribunal relève que la serre actuelle, qui est au bénéfice d’une dérogation, ne respecte pas la réglementation communale relative au coefficient d’occupation du sol, ce qui n’est pas contesté, et qu’ainsi, son agrandissement de 1'120 m2 aggraverait l’atteinte existante de manière non négligeable. Il n’est toutefois pas nécessaire d’examiner cet aspect de façon plus approfondie, le recours devant être rejeté pour d’autres motifs. 2. Il résulte des considérants qui précèdent que le recours doit être rejeté et la décision attaquée maintenue. Au vu de ce résultat, les frais de justice sont mis à la charge du recourant (art. 55 al. 1 LJPA). Il n'y a en outre pas lieu d'allouer de dépens. Par ces motifs la Cour de droit administratif et public du Tribunal cantonal arrête: I. Le recours est rejeté. II. La décision du Service de l’aménagement du territoire, comprise dans la synthèse CAMAC du 26 février 2007, refusant de délivrer une autorisation spéciale pour l'extension de serres en zone agricole , est maintenue. III. Les frais de justice, arrêtés à 2'500 (deux mille cinq cents) francs, sont mis à la charge du recourant Luc Bourgeois. IV. Il n’est pas alloué de dépens. Lausanne, le 30 mai 2008 Le président:                                                                                             La greffière: Le présent arrêt est communiqué aux destinataires de l'avis d'envoi ci-joint, ainsi qu’à l’Office fédéral du développement territorial.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