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AC.2007.0009 vom 11. April 2007</w:t>
      </w:r>
    </w:p>
    <w:p>
      <w:r>
        <w:t>VD Tribunal cantonal, 2007-04-11, FR</w:t>
      </w:r>
    </w:p>
    <w:p>
      <w:r>
        <w:rPr>
          <w:b/>
        </w:rPr>
        <w:t xml:space="preserve">Quelle: </w:t>
      </w:r>
      <w:r>
        <w:t>https://mcp.opencaselaw.ch/entscheid/vd_omni_AC.2007.0009</w:t>
      </w:r>
    </w:p>
    <w:p>
      <w:r>
        <w:t>FR: VD_OMNI AC.2007.0009 du 11 avril 2007</w:t>
      </w:r>
    </w:p>
    <w:p>
      <w:r>
        <w:t>IT: VD_OMNI AC.2007.0009 del 11 aprile 2007</w:t>
      </w:r>
    </w:p>
    <w:p>
      <w:pPr>
        <w:pStyle w:val="Heading2"/>
      </w:pPr>
      <w:r>
        <w:t>Regeste</w:t>
      </w:r>
    </w:p>
    <w:p>
      <w:r>
        <w:t>ANDREY/Service des eaux, sols et assainissement, Municipalité de Grandson, Service de l'aménagement du territoire, SCHENK | Le changement d'affectation d'un bâtiment situé hors zone à bâtir, qui implique un changement significatif de l'utilisation du bâtiment du point de vue de la planification ou de l'environnement, est soumis à autorisation. Celle-ci ne peut être octroyée ou refusée qu'après une mise à l'enquête publique et la consultation des autorités cantonales compétentes.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permis est adressée à la municipalité. Elle est signée par celui qui fait exécuter les travaux et, s'il s'agit de travaux à exécuter sur le fonds d'autrui, par le propriétaire du fonds. Elle indique les dérogations requises et les dispositions réglementaires sur lesquelles elles sont fondées.</w:t>
      </w:r>
    </w:p>
    <w:p>
      <w:r>
        <w:rPr>
          <w:b/>
        </w:rPr>
        <w:t>E. 2</w:t>
      </w:r>
    </w:p>
    <w:p>
      <w:r>
        <w:t>Le règlement cantonal et les règlements communaux déterminent, pour les divers modes de construction et catégories de travaux, les plans et les pièces à produire avec la demande, ainsi que le nombre d'exemplaires requis. La demande n'est tenue pour régulièrement déposée que lorsque ces exigences sont remplies.</w:t>
      </w:r>
    </w:p>
    <w:p>
      <w:r>
        <w:rPr>
          <w:b/>
        </w:rPr>
        <w:t>E. 3</w:t>
      </w:r>
    </w:p>
    <w:p>
      <w:r>
        <w:t>Conformément à l’article 55 LJPA, les frais et dépens sont en principe supportés par la partie qui succombe. Le recours étant admis et la décision attaquée annulée, les frais seront laissés à la charge de l’Etat. Des dépens doivent être mis à la charge de l’autorité intimée en faveur du recourant, qui a consulté un mandataire professionnel.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