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AC.2006.0257 vom 27. Juni 2007</w:t>
      </w:r>
    </w:p>
    <w:p>
      <w:r>
        <w:t>VD Tribunal cantonal, 2007-06-27, FR</w:t>
      </w:r>
    </w:p>
    <w:p>
      <w:r>
        <w:rPr>
          <w:b/>
        </w:rPr>
        <w:t xml:space="preserve">Quelle: </w:t>
      </w:r>
      <w:r>
        <w:t>https://mcp.opencaselaw.ch/entscheid/vd_omni_AC.2006.0257</w:t>
      </w:r>
    </w:p>
    <w:p>
      <w:r>
        <w:t>FR: VD_OMNI AC.2006.0257 du 27 juin 2007</w:t>
      </w:r>
    </w:p>
    <w:p>
      <w:r>
        <w:t>IT: VD_OMNI AC.2006.0257 del 27 giugno 2007</w:t>
      </w:r>
    </w:p>
    <w:p>
      <w:pPr>
        <w:pStyle w:val="Heading2"/>
      </w:pPr>
      <w:r>
        <w:t>Regeste</w:t>
      </w:r>
    </w:p>
    <w:p>
      <w:r>
        <w:t>CORBOZ, ERBETTA, VALLET, VUILLET/Municipalité de Lausanne, Service de l'environnement et de l'énergie, LO Immeubles SA, LASERGAME Villeneuve Sàrl, Service de l'économie, du logement et du tourisme | La LPE a pour objet de protéger l'homme contre les atteintes nuisibles ou incommodantes, mais non de protéger en tant que tel l'exercice d'activités professionnelles sensibles au bruit. Un lasergame ne peut donc pas être interdit - sous l'angle de la LPE - au motif qu'il empêcherait un studio d'enregistrement de poursuivre son activité. Laissant ouverte la question de savoir si les prescriptions de la LPE s'appliquent aux bruits intérieurs, le tribunal constate que les valeurs de la norme SIA 181 sont respectées et, en plus, qu'il a été tenu compte du principe de prévention. Rejet du recours.</w:t>
      </w:r>
    </w:p>
    <w:p>
      <w:pPr>
        <w:pStyle w:val="Heading2"/>
      </w:pPr>
      <w:r>
        <w:t>Erwägungen</w:t>
      </w:r>
    </w:p>
    <w:p>
      <w:r>
        <w:rPr>
          <w:b/>
        </w:rPr>
        <w:t>E. 1</w:t>
      </w:r>
    </w:p>
    <w:p>
      <w:r>
        <w:t>a) Dans leur pourvoi du 18 octobre 2006, les recourants ont soutenu que, en l'état du dossier, il n'était pas possible de vérifier si l'installation projetée respectait la législation fédérale sur la protection de l'environnement en ce qui concerne leurs locaux. Ils relevaient à cet égard, à juste titre, que le rapport Monay du 22 mai 2006 ne concernait que les locaux du Tacos Bar et ne permettait par conséquent pas de dire si les mesures préconisées par l'expert étaient également de nature à amortir suffisamment le bruit en ce qui concerne le studio d'enregistrement. Ultérieurement, soit le 3 novembre 2006, l'expert du bureau Monay a effectué des nouveaux relevés de bruit portant cette fois-ci sur le studio d'enregistrement, qui ont fait l'objet d'un rapport complémentaire du 16 novembre 2006. En date du 21 février 2007, le bureau Monay a confirmé que la composition prévue pour le nouveau sol du futur Lasergame correspondait bien aux conclusions de son rapport du 16 novembre 2006. La seule différence résidait dans l’épaisseur du panneau d’aggloméré (32 mm au lieu de 20 mm) utilisé, ce qui ne pouvait qu’influencer favorablement les valeurs d’isolation attendue. Les recourants ont néanmoins confirmé dans une écriture complémentaire du 30 avril 2007 que, selon eux, il n'était toujours pas possible, sur la base du dossier, de garantir le respect de normes susceptibles de leur permettre de poursuivre leur exploitation b) Il résulte de leurs écritures et des explications fournies lors de l'audience que les recourants mettent en cause l'exploitation du Lasergame uniquement en tant que celle-ci met en péril la qualité des enregistrements effectués dans leur studio et par conséquent la continuation de l'exploitation de ce dernier. Dès lors que les recourants invoquent une violation de la législation sur la protection de l'environnement, il convient d'examiner en premier lieu si une activité économique telle que l'exploitation d'un studio d'enregistrement entre dans le champ d'application de cette législation, ce qui est notamment contesté par le SEVEN (cf. observations du 10 novembre 2006). aa) En vertu de l’art. 74 al. 1 Cst., la Confédération légifère sur la protection de l’être humain et de son environnement naturel contre les atteintes nuisibles ou incommodantes. L’objet de protection est double: l’être humain et son environnement naturel. L’environnement naturel comprend les animaux et les plantes, leur milieu naturel, ainsi que tous les éléments naturels indispensables à la vie (Pascal Mahon, in Aubert/Mahon, Petit Commentaire de la Constitution fédérale de la Confédération suisse, Zurich-Bâle-Genève 2003, n° 6 ad art. 74 Cst.). Par atteintes nuisibles, il faut entendre les atteintes susceptibles de mettre en danger la vie ou la santé de l’être humain ou de causer un dommage à son milieu naturel. Les atteintes incommodantes sont celles qui, sans affecter directement la santé, peuvent troubler le bien être des personnes (Mahon, op. cit., n° 8 ad art. 74 Cst.). Adoptée sur cette base constitutionnelle, la LPE a pour objet de protéger l'homme contre les atteintes nuisibles ou incommodantes en définissant des normes de qualité de l'environnement (Conseil fédéral, Message relatif à une loi fédérale sur la protection de l'environnement du 31 octobre 1979, FF 1989 III p. 774). Cela étant, la protection contre les atteintes sonores incommodantes prévue par la LPE ne doit pas être comprise comme une assurance d’harmonie et de confort auquel cas la loi aurait dû interdire tout bruit ce qu’elle ne fait pas (cf. Anne-Christine Favre, La protection contre le bruit dans la loi sur la protection de l'environnement, thèse Lausanne 2002, p. 86 ss). La LPE ne confère pas un droit au silence ou à la tranquillité; une gêne qui n'est pas sensible ni significative doit être supportée (ATF126 II 300 consid. 4c/bb p. 307, 366 consid. 2b p. 368 et la jurisprudence citée; ATF 1A.1/2005 du 11 novembre 2005 consid. 5). bb) En l’occurrence, les recourants ne prétendent pas que les nuisances sonores liées à l'installation projetée seraient susceptibles de porter atteinte à leur sante ou à leur bien-être. Ils font état uniquement de nuisances les empêchant d’exercer leur activité professionnelle dans des conditions convenables. Se pose dès lors la question de l’applicabilité de la LPE au cas d’espèce, étant donné que la LPE n’a pas pour objet de protéger en tant que tel l’exercice d’activités professionnelles sensibles au bruit, comme on l’a vu ci-dessus. Si l’art. 2 al. 6 OPB permet certes de qualifier parfois des locaux d’exploitation de locaux dont l’usage est sensible au bruit, c’est uniquement dans la mesure où des personnes séjournent régulièrement durant une période prolongée dans ces locaux et où leur bien-être peut être atteint par les immissions en cause, ce qui n’est pas invoqué en l’espèce. L’art. 2 al. 6 OPB – et de manière plus générale la LPE – n’ont par contre pas pour but de garantir un droit au silence à des activités professionnelles particulièrement sensibles au bruit. Par conséquent, les règles de droit public en matière de protection de l’environnement ne sont en l’occurrence pas pertinentes et ne font pas obstacle à la délivrance du permis litigieux.</w:t>
      </w:r>
    </w:p>
    <w:p>
      <w:r>
        <w:rPr>
          <w:b/>
        </w:rPr>
        <w:t>E. 2</w:t>
      </w:r>
    </w:p>
    <w:p>
      <w:r>
        <w:t>Quand bien même les recourants n'invoquent les impacts de l'installation litigieuse qu'en ce qui concerne l'exploitation de leur studio d'enregistrement, le tribunal peut, dans le cadre de son examen d'office du droit (art. 53 LJPA), vérifier si cette installation, qui est susceptible de provoquer des nuisances au sens de l'art. 1 LPE pour les autres locataires de l'immeuble, respecte la législation fédérale sur la protection de l'environnement. S'agissant du bruit intérieur (soit celui produit à l'intérieur d'une construction et qui atteint des personnes situées dans le même bâtiment), le Tribunal fédéral considère qu'il faut se référer aux valeurs limites ou exigences en matière d'isolation acoustique selon la norme SIA 181, qui visent également à la protection contre le bruit intérieur (cf. ATF 1A.233/2002 du 23 janvier 2004 reproduit in DEP 2004 p. 303; ATF 1A.111/1998 du 20 novembre 1998 in DEP 1999 p. 264). Dans son arrêt 1A.233/2002 du 23 janvier 2004 (consid. 2), le Tribunal fédéral a renoncé à trancher la question de savoir si les prescriptions de la LPE sur la protection contre les immissions (art. 11 à 25 LPE) s'appliquent aux bruits intérieurs ou seulement aux nuisances qui, provenant d'une installation, se propagent dans l'environnement et produisent leurs effets sur des personnes se trouvant à l'extérieur ou dans d'autre bâtiments (bruit extérieur). Il a toutefois précisé que lorsqu'un établissement public occupe un étage d'un bâtiment destiné pour le reste à l'habitation, des restrictions d'exploitation – limitation des heures d'ouverture, prescriptions sur le volume de la musique diffusée – , peuvent en principe être ordonnées dans un but de protection des voisins résidant dans l'immeuble, en appliquant les mêmes règles qu'en cas d'émissions de bruit extérieur mais en tenant compte des particularités du mode de propagation. En l'occurrence, il ressort des déclarations des parties lors de l’audience du 24 mai 2007 que celles-ci s’accordent sur le fait que les valeurs de la norme SIA 181 sont respectées. Le représentant du bureau Monay a même précisé que les valeurs d’atténuation du cas d’espèce étaient supérieures aux exigences de la norme (plus de 75dB, au lieu de 50dB). On note au surplus que, dès lors qu'il n'y a pas de locaux d'habitation dans l'immeuble, il n'existe a a priori pas de raison d'imposer d'autres exigences que le respect de la norme SIA 181. Cela étant, on constate que, dans son préavis, le SEVEN a d'office imposé une limitation supplémentaire des émissions de musique en application du principe de prévention de l'art. 11 LPE et de la Directive du 10 mars 1999 concernant la détermination et l'évaluation des nuisances sonores liées à l'établissement des établissements publics. Comme le relèvent les recourants, ces exigences ne peuvent être imposées sur la base d'un préavis et doivent figurer dans la décision de l'autorité compétente pour appliquer la législation sur la protection de l'environnement. Selon l’art. 2 al. 2 du règlement cantonal du 8 novembre 1989 d’application de la loi fédérale du 7 octobre 1983 sur la protection de l’environnement (RVLPE; RSV 814.01.1), s’il y a lieu à autorisation spéciale au sens de la législation sur l’aménagement du territoire et des constructions, l’autorité compétente pour appliquer la législation sur la protection de l’environnement est le département compétent pour délivrer cette autorisation spéciale (sous réserve de la détermination cas par cas des degrés de sensibilité au bruit). En l’occurrence, l'autorité compétente était la Police cantonale du commerce qui, dans l'autorisation spéciale qu'elle a délivrée, a "réservé les préavis des autres départements et services". On peut regretter le caractère peu clair de cette formulation et le fait que la Police du commerce n'ait pas simplement repris dans son autorisation spéciale les exigences formulées par le SEVEN. Cela étant, on constate que ces exigences ont bien été reprises par l'autorité compétente et qu'elles s'imposent par conséquent aux futurs exploitants. 3.                Il résulte des considérants que le recours doit être rejeté et la décision attaquée confirmée. Vu le sort du recours, les frais sont mis à la charge des recourants et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