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AC.2006.0237 vom 30. Juli 2007</w:t>
      </w:r>
    </w:p>
    <w:p>
      <w:r>
        <w:t>VD Tribunal cantonal, 2007-07-30, FR</w:t>
      </w:r>
    </w:p>
    <w:p>
      <w:r>
        <w:rPr>
          <w:b/>
        </w:rPr>
        <w:t xml:space="preserve">Quelle: </w:t>
      </w:r>
      <w:r>
        <w:t>https://mcp.opencaselaw.ch/entscheid/vd_omni_AC.2006.0237</w:t>
      </w:r>
    </w:p>
    <w:p>
      <w:r>
        <w:t>FR: VD_OMNI AC.2006.0237 du 30 juillet 2007</w:t>
      </w:r>
    </w:p>
    <w:p>
      <w:r>
        <w:t>IT: VD_OMNI AC.2006.0237 del 30 luglio 2007</w:t>
      </w:r>
    </w:p>
    <w:p>
      <w:pPr>
        <w:pStyle w:val="Heading2"/>
      </w:pPr>
      <w:r>
        <w:t>Regeste</w:t>
      </w:r>
    </w:p>
    <w:p>
      <w:r>
        <w:t>GARBI, GARBI, WERMELINGER, ERNI, GRUAZ/Municipalité de Lausanne, BERRUEX, Service Immeubles, Patrimoine et Logistique | La dérogation à la distance entre bâtiments pour un parking enterré peut être admise, même si l'aménagement du parking nécessite l'abattage de plusieurs arbres protégés. Le maintien des arbres entraînerait une réduction du périmètre d'implantation du bâtiment et limiterait les possibilités de construire d'une manière trop importante. La limitation serait contraire aux objectifs de la planification communale ainsi qu'aux impératifs du développement durable prévoyant une densification dans les secteurs bien desservis par les transports publics.</w:t>
      </w:r>
    </w:p>
    <w:p>
      <w:pPr>
        <w:pStyle w:val="Heading2"/>
      </w:pPr>
      <w:r>
        <w:t>Erwägungen</w:t>
      </w:r>
    </w:p>
    <w:p>
      <w:r>
        <w:rPr>
          <w:b/>
        </w:rPr>
        <w:t>E. 1</w:t>
      </w:r>
    </w:p>
    <w:p>
      <w:r>
        <w:t>a) Le Tribunal administratif examine d’office et avec un plein pouvoir d’examen la recevabilité des recours qui lui sont soumis (art. 53 de la loi sur la juridiction et la procédure administratives du 18 décembre 1989 ; ci-après : LJPA ; voir aussi les arrêts TA AC.2006.0044 du 30 octobre 2006, AC.2003.0256 du 7 septembre 2004, AC.2002.0208 du 11 juillet 2003, AC.2000.0044 du 26 octobre 2000, AC.1999.0086 du 15 juillet 2004, AC.1994.0062 du 9 janvier 1996, AC.1993.0092 du 28 octobre 1993, AC.1992.0345 du 30 septembre 1993 et AC.1991.0239 du 29 juillet 1993). La qualité pour recourir devant le Tribunal administratif est régie par l’art. 37 LJPA, dont la teneur est la suivante : "Le droit de recours appartient à toute personne physique ou morale qui est atteinte par la décision attaquée et a un intérêt digne de protection à ce qu'elle soit annulée ou modifiée." La jurisprudence du Tribunal fédéral relative à l'ancien art. 103 let. a OJ est ainsi applicable à l'art. 37 al. 1 LJPA pour définir l'étendue du cercle des administrés autorisés à contester devant le Tribunal administratif une décision susceptible de recours au sens de l'art. 29 LJPA (BGC février-mars 1996 p. 4489).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131 II 361 consid. 1.2 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La jurisprudence fédérale a admis la qualité pour recourir du locataire lorsqu'il est directement touché par la décision attaquée dans l'exercice des droits découlant du contrat de bail (voir notamment ZBl 105, 2004 p. 111 et ATF non publié 1P 500/2002 du 9 janvier 2003 et les références citées); le Tribunal administratif a de son côté admis que le locataire des locaux construits sur un terrain voisin subit de la même manière que le propriétaire les inconvénients liés à la réalisation du projet contesté, notamment en ce qui concerne les nuisances, par exemple lorsqu'il est lié au propriétaire par un contrat de bail commercial de longue durée, ou s'il a réalisé des investissements importants dans les locaux en cause (voir arrêts AC.2000.0001 du 5 octobre 2000, AC.1997.0179 du 24 juillet 1998 et AC.1997.0010 du 2 avril 1997). En outre, la jurisprudence du Tribunal administratif a confirmé à plusieurs reprises que le locataire habitant le logement exposé aux nuisances a, tout comme le propriétaire du logement, un intérêt digne de protection à l'annulation de la décision autorisant la construction du projet litigieux (voir notamment les arrêts AC.2006.0028 du 4 mai 2006, AC.2001.0128 du 12 mars 2002) . En effet, le projet contesté entraînera un accroissement du trafic sur le chemin des Tonnelles, de sorte qu'il existe un intérêt direct à l'annulation de la décision attaquée pour éviter les nuisances qui en résultent.</w:t>
      </w:r>
    </w:p>
    <w:p>
      <w:r>
        <w:rPr>
          <w:b/>
        </w:rPr>
        <w:t>E. 2</w:t>
      </w:r>
    </w:p>
    <w:p>
      <w:r>
        <w:t>Les recourants estiment en substance que le volume du projet de construction serait trop important et qu'il ne respecterait pas les dispositions du règlement du nouveau plan général d'affectation de la Commune de Lausanne du 26 juin 2006 (RPGA), dont l’art. 73 a la teneur suivante : "La direction des travaux tient à disposition la liste des bâtiments, des objets, des sites et des ensembles figurant au recensement architectural, au recensement des jardins d'intérêt historique et au recensement des ensembles bâtis. Tous travaux les concernant font l'objet d'un préavis du délégué communal à la protection du patrimoine bâti précisant ses déterminations. Sur la base de ce préavis, la Municipalité peut imposer des restrictions au droit de bâtir et interdire les constructions, transformations ou démolitions.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 Il convient de déterminer quelle est la portée de la règle communale dans le cadre légal fixé par la loi fédérale sur l'aménagement du territoire du 22 juin 1979 (LAT) et par la loi vaudoise sur l'aménagement du territoire et les constructions du 4 décembre 1985 (LATC). aa)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(Moor, Commentaire LAT, art. 17, no 74). La mise sous protection par une zone à protéger n'exclut toutefois pas certaines utilisations, car la mesure de protection peut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(Moor, Commentaire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(Moor, Commentaire LAT, art. 17, no 80). Par exemple, l'instrument de la zone n'est pas adapté lorsque la mesure de protection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(Moor, Commentaire LAT, art. 17, nos 83 à 93). bb) En droit vaudois, la LATC attribue aux communes la compétence d'adopter des zones à protéger au sens de l'art. 17 al.1 LAT en prévoyant à l'art. 47 LATC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cc) La loi vaudoise sur la protection de la nature,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88, consid. 4a, p. 93-94). b) Les communes vaudoises ont ainsi la possibilité d’intégrer dans leur réglementation des règles matérielles visant des buts comparables à ceux d’un arrêté de classement pour la protection de bâtiments dignes d’intérêt en application de l’art. 47 al. 2 ch. 2 LATC. En pareil cas, les règles matérielles de protection ne sont plus subordonnées à l’adoption d’un arrêté de classement, mais résultent de l’application de la réglementation communale sur les constructions. C’est la municipalité qui est compétente en première ligne pour l’application de ces règles (art. 17 et 104 LATC). Mais le département a un pouvoir d’intervention dans ce domaine, car il dispose d’un droit d’opposition (art. 110 LATC) et d’un droit de recours (art. 104a LATC) pour contester une décision municipale qui ne serait pas conforme à la réglementation communale concernant la protection des ensembles bâtis ou des bâtiments dignes d’intérêt. Il existe d’ailleurs une obligation de coordonner les plans d’affectation avec les mesures résultant de la LPNMS. L’art. 2 RPNMS prévoit en effet que les autorités communales doivent tenir compte des objets méritant d’être sauvegardés (notamment ceux mis à l’inventaire ou soumis à la protection générale) en élaborant leurs plans d’affectation. Cette disposition reprend d’ailleurs les principes de coordination qui résultent déjà du droit fédéral (art. 2 al. 1 et 25a al. 4 LAT) et du droit cantonal (art. 2 LATC). aa) La Commune de Lausanne a concrétisé cette obligation de coordination en prévoyant à l'art. 73 RPGA une disposition spéciale pour les "objets figurant dans un recensement". Cette disposition fait état de trois catégories de recensement, à savoir : le recensement architectural, le recensement des jardins d'intérêt historique et celui des ensembles bâtis (al. 1). Tous les travaux concernant un objet figurant dans l'un de ces trois recensements doivent alors faire l'objet d'un préavis du délégué communal à la protection du patrimoine bâti (al. 2). Sur la base de ce préavis, la municipalité peut imposer des restrictions au droit de bâtir et interdire les constructions, transformations ou démolitions (al. 3). La municipalité peut également, lorsqu'un ensemble bâti est identifié et qu'il s'agit, notamment, d'éviter une rupture du tissu bâti existant, préserver la volumétrie générale de l'ensemble, le rythme du parcellaire, la composition verticale et horizontale des façades, les formes des toitures, ainsi que l'aménagement des espaces libres (al. 4). Alors que les restrictions que la municipalité peut imposer au sens de l'art. 73 al. 3 RPGA semblent subordonnées au préavis du délégué communal à la protection du patrimoine bâti, l'intervention de la municipalité selon l'alinéa 4 de l'art. 73 RPGA serait indépendante d'un tel préavis. Au demeurant, la municipalité ne peut de toute manière statuer sur une demande de permis de construire touchant un objet recensé au sens de l'art. 73 RPGA sans consulter son service compétent en matière de protection du patrimoine bâti; il se pose alors la question de savoir si l'art. 73 al. 2 RPGA a seulement le rôle d'une règle de fonctionnement interne, qui n'a pas de portée propre. bb) La règle communale fait référence au recensement architectural qui sert de base à l'inscription d'un objet à l'inventaire LPNMS. L’inventaire prévu à l’article 49 LPNMS est en effet fondé sur le recensement architectural établi conformément à l'art. 31 RPNMS. Le propriétaire qui envisage des travaux affectant un objet à l’inventaire doit alors prendre contact avec le département compétent avant l’élaboration du projet définitif et le dépôt de la demande de permis de construire. L’annonce des travaux d’où part le délai pour le classement de l’objet correspond à la date du dépôt de la demande de permis de construire comportant toutes les pièces requises selon les articles 108 et 114 LATC (art. 32 RPNMS). Ainsi, il y a une distinction à opérer entre des bâtiments qui font l’objet du recensement architectural du canton de Vaud selon l’article 30 RPNMS et ceux qui sont mis à l’inventaire selon l’article 31 RPNMS (arrêt TA AC.2006.0113 du 12 mars 2007). La directive cantonale concernant le recensement architectural du canton de Vaud, dans l’édition de mai 2002, comporte une classification de tous les bâtiments recensés allant de la note 1 à la note 7. La note 1 comprend les bâtiments d’importance nationale. Le monument a une valeur justifiant un classement comme monument historique et en tous les cas est inscrit à l’inventaire. Le monument est alors à conserver dans sa forme et sa substance et aucun travail d’entretien, de restauration ou de transformation ne devrait y être effectué sans une étude archéologique préalable et une recherche d’archives ainsi que l’établissement d’une documentation. La note 2 recense les monuments d’importance régionale. L’édifice devrait être conservé dans sa forme et sa substance ; des modifications peuvent être envisagées sans qu’elles n’en altèrent le caractère. Les monuments d’importance régionale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l’article 46 LPNMS. Les objets auxquels la note 4 est attribuée sont qualifiés de bien intégrés. Selon le commentaire figurant dans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cc) La jurisprudence a précisé que l’évaluation des bâtiments effectuée dans le cadre du recensement architectural, même si elle ne déploie pas un effet juridique contraignant, constitue un élément d’appréciation important pour les autorités chargées de l’aménagement du territoire lors de l’adoption des zones à protéger prévues par l’article 17 al. 1 lettre c LAT. L’appréciation sur la valeur d’un bâtiment peut également entrer en ligne de compte dans la procédure de demande de permis de construire lorsque l’autorité applique les règles concernant l’intégration et l’esthétique des constructions selon l’article 86 LATC; la clause d’esthétique fait partie en effet des autres mesures du droit cantonal réservées par l’article 17 al. 2 LAT pour les zones à protéger (Moor, Commentaire LAT, art. 17 nos 87 et 88). Ainsi, le recensement architectural est un élément d’appréciation que les communes peuvent prendre en considération lors de l’établissement des plans d’affectation touchant des localités typiques (arrêts TA AC.2006.0113 du 12 mars 2007, AC.2004.0031 du 21 février 2006, AC.2004.0003 du 29 décembre 2005, AC.2003.0204 du 21 décembre 2004, AC.2002.0128 du 12 mars 2004 et AC.2000.0122 du 9 septembre 2004). d) La réglementation communale peut donc attacher des effets juridiques aux travaux du recensement architectural pour autant que les restrictions à la garantie de la propriété qui en résultent ressortent clairement de la disposition réglementaire communale. Rien ne s'oppose non plus à ce que la réglementation communale attache des effets juridiques aux autres travaux de recensement effectués par la commune pour les jardins d'intérêt historique et les ensembles bâtis. L'art. 27 RPNMS prévoit d'ailleurs l'établissement d'un recensement des paysages, localités et des sites construits que le canton n'a pas encore élaboré. Le droit cantonal n'empêche pas l'autorité communale d'établir des recensements portant notamment sur les jardins historiques ou les ensembles bâtis, à défaut d'une documentation cantonale dans ces différents domaines. L'autorité communale peut également attacher des effets juridiques à ces travaux de recensement qui servent de base à l'établissement du plan d'affectation; mais il faut également que la base légale réglementaire communale comporte les précisions suffisantes sur les restrictions au droit de propriété qui en résultent. Il faut que les buts de la protection et les mesures qui en résultent soient déterminables avec suffisamment de prévisibilité par les propriétaires concernés. aa) Les recourants soutiennent que le projet s'inscrit dans un quartier intéressant comportant deux bâtiments anciens, soit le bâtiment du constructeur longeant l'avenue de France, portant la note 4 au recensement architectural ainsi que les bâtiments situés le long de l'avenue d'Echallens (parcelle 1’122) avec la note 3. Ils relèvent que d'autres bâtiments de valeur sont recensés dans le quartier, notamment les immeubles de l'avenue de France 27-29 (note 4) et ceux de l'avenue d'Echallens 6 à 8 (note 2). Les recourants estiment que l'ensemble présente une certaine valeur qui justifierait une réduction du volume de la construction projetée comparable à celui du bâtiment existant. Les recourants demandent aussi la production du préavis du délégué communal à la protection du patrimoine bâti et ils ont requis l'avis de la Section Monuments et Sites. bb) La Section Monuments et Sites a précisé, dans son préavis du 27 mars 2007, que le bâtiment du constructeur situé à l'avenue de France 31-33, réalisé par l'architecte E. d'Okolski, était moins intéressant que d'autres réalisations du même architecte en ville de Lausanne notamment le groupement situé à l'avenue Ruchonnet 33-39 et à l'avenue Villard 1-3. La section a ainsi confirmé la note 4 attribuée à l'immeuble du constructeur implanté le long de l'avenue de France en précisant aussi que la dépendance, qui devrait être démolie, aurait aussi pu obtenir la note 4 même si sa facture est plus simple, ce qui était cohérent avec le programme. Par ailleurs, la décision municipale levant l'opposition des recourants précise en ce qui concerne les travaux contestés, que : "le délégué à la protection du patrimoine a préavisé favorablement pour le projet (art. 73 du PGA)" . La décision communale précise aussi que même si les bâtiments voisins figurent au recensement architectural avec la note 3 ou 4, on ne pouvait parler d'un ensemble bâti justifiant des mesures de protection spéciales. Le gabarit du bâtiment projeté n'apparaissait nullement disproportionné par rapport à l'environnement bâti existant et n'allait pas à l'encontre du concept d'urbanisme retenu par le nouveau plan général d'affectation. L'architecture contemporaine du projet ne créait pas un contraste tel avec le projet qu'il justifierait le refus du permis de construire. cc) En l'espèce, le tribunal constate que le champ d'application de l'art. 73 RPGA a une portée réduite par rapport au projet litigieux. D'une part, seule une partie d'un jardin historique recensé en note 4 est touchée. D'autre part, le bâtiment qui doit être démoli n'a pas été noté au recensement en raison du fait qu'il ne présentait pas un intérêt suffisant. Il est vrai que la Section Monuments et Sites aurait également attribué la note 4 à un tel bâtiment alors même qu'il présente des caractéristiques plus simples que le bâtiment principal donnant sur l'avenue de France. Mais cette évaluation a pour seul effet juridique l'obligation de requérir l'avis du délégué communal à la protection du patrimoine qui a déjà préavisé favorablement le projet. Au surplus, il n'est pas nécessaire de solliciter une seconde fois l'avis du délégué communal dès lors que ce dernier a déjà pris connaissance du projet dans son entier et qu'il a pu apprécier l'impact de la nouvelle construction dans l'environnement construit même si, formellement, son intervention a été suscitée par la présence d'un jardin historique recensé en note 4. Enfin, le secteur n'a pas été recensé dans un ensemble bâti, ce qui exclut une intervention du délégué communal sur ce point alors que les recourants invoquent essentiellement la qualité de l'ensemble formé par les immeubles situés dans le voisinage direct ou à proximité. e) Il se pose alors la question de savoir si en dehors des règles spéciales de l'art. 73 RPGA, la volumétrie de la construction projetée serait contraire à la clause d'esthétique prévue à l'art. 86 LATC. Il est vrai que les bâtiments voisins du projet contesté présentent une valeur et des qualités architecturales et esthétiques qui ont justifié les notes 2, 3 et</w:t>
      </w:r>
    </w:p>
    <w:p>
      <w:r>
        <w:rPr>
          <w:b/>
        </w:rPr>
        <w:t>E. 4</w:t>
      </w:r>
    </w:p>
    <w:p>
      <w:r>
        <w:t>Les recourants contestent également la dérogation accordée en raison de l'abattage de plusieurs arbres protégés; à leur avis, l'autorisation d'abattage ne serait pas justifiée car elle servirait seulement à permettre la construction du parking souterrain en dérogation à la distance réglementaire à respecter entre bâtiments. Il s'agirait de motifs de convenance personnelle qui ne permettraient pas l'autorisation d'abattage. a)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(lettre a), ou encore de ceux que désignent les communes par voie de classement ou de règlement communal, et qui doivent être maintenus soit en raison de leur valeur esthétique, soit en raison des fonctions biologiques qu'ils assurent (lettre b). En application de ces dispositions, la Commune de Lausanne a adopté les art. 56 à 60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10.00 mètres et plus pour la plupart (let. a), présentant un caractère de longévité spécifique (let. b) et ayant une valeur dendrologique reconnue (let. c). Il n'est pas contesté en l'espèce que la demande d'autorisation de construire comporte une demande en vue d’abattage de 6 arbres protégés au sens de l'art. 56 RPGA, soit un bouleau, une laurelle, un sapin, un magnolia, un érable et une aubépine.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TA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(voir par analogie ATF 116 Ib 213/214 consid. 5g; voir aussi TA AC.1991.0210 du 26 janvier 1994 et AC.1995.0051 du 8 août 1996). c) En l'espèce, la réglementation communale impose au constructeur de réaliser un certain nombre de places de stationnement conformément aux dispositions des art. 61 à 63 RPGA. La configuration particulière du terrain permet d'aménager les places de stationnement dans le parking prévu aux rez-supérieur et inférieur ou de prévoir un à deux niveaux en sous-sol supplémentaires. Mais les travaux de terrassement et l'ampleur des fouilles en pleine masse auraient, par la création de deux niveaux supplémentaires en sous-sol, une emprise comparable sur le jardin existant et toucheraient le même nombre d'arbres protégés que l'extension du parking aux rez-supérieur et inférieur. Une protection effective de tous les arbres nécessiterait de réduire le périmètre d'implantation du bâtiment projeté et de limiter les possibilités de construire dans une proportion trop importante qui ne permettrait plus d'assurer une exploitation rationnelle du bien-fonds. Une telle limitation serait contraire aux objectifs de la planification communale et aux impératifs du développement durable, qui prévoient une  densification dans les secteurs bien desservis par les transports publics. Les conditions de l'autorisation d'abattage sont ainsi remplies par la décision attaquée, qui exige les plantations compensatoires nécessaires.</w:t>
      </w:r>
    </w:p>
    <w:p>
      <w:r>
        <w:rPr>
          <w:b/>
        </w:rPr>
        <w:t>E. 5</w:t>
      </w:r>
    </w:p>
    <w:p>
      <w:r>
        <w:t>Les recourants estiment également que les règles fixant la hauteur des façades ne seraient pas respectées par le projet litigieux. a) Dans la zone mixte de forte densité, l'art. 108 RPGA prévoit que la hauteur des façades est limitée à quatorze mètres cinquante. Les art. 20 à 22 fixent les principes à respecter pour le calcul de la hauteur des constructions. Selon l'art. 20 RPGA, la hauteur des façades est mesurée au milieu de celles-ci dès le niveau de référence défini à l'art. 21 et jusqu'à l'arête supérieure de la corniche pour les toitures à pans, ou de la tablette de l'acrotère ou du garde-corps, s'il est opaque, pour les toitures plates. Selon l'art. 21 RPGA, le niveau de référence est défini en fonction de la position du bâtiment. Si le bâtiment est implanté sur une limite des constructions, et jusqu'à une distance de six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(let. b). b) En l'espèce, la façade sud-est du projet de construction est située à un mètre en retrait de la nouvelle limite des constructions fixée par le plan général d'affectation. Cette situation est régie par l'art. 21 let. b RPGA qui prévoit que la municipalité fixe l'altitude à partir de laquelle la hauteur à la corniche est mesurée. En l'espèce, il ressort du plan des façades que la municipalité a pris le point d'altitude sur le chemin des Tonnelles situé au milieu de la façade sud-est. Une telle manière de faire n'est pas critiquable et correspond au texte de l'art. 21 let. b RPGA. La hauteur de quatorze mètres cinquante est respectée depuis ce niveau jusqu'à la tablette de l'acrotère dès lors que le garde-corps du dernier niveau n'est pas opaque. Enfin, la toiture située en retrait du dernier niveau respecte le gabarit défini à l'art. 23 RPGA sans que l'on doive parler d'une toiture à pans. Il est vrai que la toiture comprise sur la dalle du dernier niveau en attique présente les formes d'une toiture à pans mais ce qui est déterminant, c'est l'altitude à la corniche du dernier niveau d'attique; la forme de la toiture au-dessus du dernier niveau d'attique doit s'inscrire dans le gabarit réglementaire et, sous réserve des dispositions relatives à l'esthétique des constructions, elle n'entre pas en considération pour fixer le calcul de la hauteur de la construction.</w:t>
      </w:r>
    </w:p>
    <w:p>
      <w:r>
        <w:rPr>
          <w:b/>
        </w:rPr>
        <w:t>E. 6</w:t>
      </w:r>
    </w:p>
    <w:p>
      <w:r>
        <w:t>Il résulte ainsi des considérants qui précèdent que le recours doit être rejeté et la décision attaquée maintenue. Au vu de ce résultat, et en application de l'art. 55 al. 1 LJPA, il y a lieu de mettre les frais de justice, arrêtés à 2'000 fr., à la charge des recourants, solidairement entre eux. Le constructeur ainsi que la municipalité, qui ont consulté chacun un homme de loi, ont droit aux dépens qu'ils ont requis, arrêtés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