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AC.2006.0218 vom 21. Dezember 2007</w:t>
      </w:r>
    </w:p>
    <w:p>
      <w:r>
        <w:t>VD Tribunal cantonal, 2007-12-21, FR</w:t>
      </w:r>
    </w:p>
    <w:p>
      <w:r>
        <w:rPr>
          <w:b/>
        </w:rPr>
        <w:t xml:space="preserve">Quelle: </w:t>
      </w:r>
      <w:r>
        <w:t>https://mcp.opencaselaw.ch/entscheid/vd_omni_AC.2006.0218</w:t>
      </w:r>
    </w:p>
    <w:p>
      <w:r>
        <w:t>FR: VD_OMNI AC.2006.0218 du 21 décembre 2007</w:t>
      </w:r>
    </w:p>
    <w:p>
      <w:r>
        <w:t>IT: VD_OMNI AC.2006.0218 del 21 dicembre 2007</w:t>
      </w:r>
    </w:p>
    <w:p>
      <w:pPr>
        <w:pStyle w:val="Heading2"/>
      </w:pPr>
      <w:r>
        <w:t>Regeste</w:t>
      </w:r>
    </w:p>
    <w:p>
      <w:r>
        <w:t>Bécherraz/Municipalité de Trélex, MERSMANN, | Les "espaces réglementaires", au sens de l'art. 39 al. 1 RATC, sont définis par rapport à la limite de propriété et non par rapport à l'assiette d'une servitude de passage. Le voisin bénéficiaire d'une telle servitude ne peut pas invoquer cette disposition pour se plaindre d'un aménagement (en l'occurrence des places de parc) qui en rendrait l'exercice plus difficile ou incommode. Cet inconvénient relève des relations de droit privé; il n'a pas à être pris en considération dans l'application des règles de droit public sur les dépendances et autres ouvrages assimilés.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convient donc d'entrer en matière sur le fond.</w:t>
      </w:r>
    </w:p>
    <w:p>
      <w:r>
        <w:rPr>
          <w:b/>
        </w:rPr>
        <w:t>E. 2</w:t>
      </w:r>
    </w:p>
    <w:p>
      <w:r>
        <w:t>Les plans et les photographies qui figurent au dossier permettent au tribunal de se faire une idée suffisamment précise des lieux, sous tous les aspects déterminants pour la solution du litige. L'inspection locale requise par la recourante apparaît ainsi inutile et n'a par conséquent pas été ordonnée.</w:t>
      </w:r>
    </w:p>
    <w:p>
      <w:r>
        <w:rPr>
          <w:b/>
        </w:rPr>
        <w:t>E. 3</w:t>
      </w:r>
    </w:p>
    <w:p>
      <w:r>
        <w:t>Aux termes de l'art. 104 al. 3 de la loi vaudoise sur l'aménagement du territoire et les constructions du 4 décembre 1985 (LATC; RSV 700.11), la municipalité n'accorde le permis de construire que lorsque le bien-fonds est équipé pour la construction ou qu'il le sera à l'achèvement de la construction et que les équipements empruntant la propriété d'autrui sont au bénéfice d'un titre juridique. D'après son texte clair, l'art. 104 al. 3 LATC vise le cas où un équipement (par exemple un chemin) est construit sur la propriété d'un tiers. Cette hypothèse n'est pas réalisée en l'espèce, car les constructeurs n'interviennent pas sur le terrain d'un tiers ni n'emprunteront un équipement construit sur le terrain d'un tiers, en particulier pas sur la parcelle de la recourante, puisqu'ils aménagent au contraire leurs places de parc exclusivement sur leur propre terrain et y accèderont en empruntant un chemin construit sur leur propre parcelle. En outre, l'art. 104 al. 3 LATC ne s'applique pas à l'hypothèse dans laquelle un équipement, sans emprunter la propriété d'autrui, porterait atteinte à un autre droit privé, tel qu'une servitude foncière ou une servitude de non-bâtir. En bref, il n'appartient pas au Tribunal administratif de contrôler le respect des servitudes de droit privé (arrêt TA AC.2007.0049 du 13 juin 2007 consid. 4 et les références citées).</w:t>
      </w:r>
    </w:p>
    <w:p>
      <w:r>
        <w:rPr>
          <w:b/>
        </w:rPr>
        <w:t>E. 4</w:t>
      </w:r>
    </w:p>
    <w:p>
      <w:r>
        <w:t>Selon les art. 22 al. 2 let. b de la loi fédérale du 22 juin 1979 sur l'aménagement du territoire du 22 juin 1979 (LAT; RS 700) et 104 al. 3 LATC, une autorisation de construire ne peut être délivrée que si le terrain est équipé. L'art. 19 LAT exige à cet égard qu'un terrain soit desservi par des voies d'accès adaptées à l'utilisation prévue. Aux termes de l'art. 9.1 du règlement communal (RCAT), les conditions de construction des voies privées ainsi que le mode de raccordement de tous accès au domaine public sont fixés par la municipalité. Dans la règle, les voies de circulation sans issue sont pourvues à leur extrémité d'une place de retournement (al. 1). La municipalité peut interdire la réalisation de garages, de places de stationnement ou de postes de distribution de carburant si le raccordement de ces constructions à la voie publique ou privée présente un danger pour la circulation (al. 2). La définition de l'accès adapté à l'utilisation prévue au sens de l'art. 19 LAT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La jurisprudence a aussi posé le principe selon lequel on ne saurait refuser un permis de construire fondé sur l'insuffisance de l'équipement lorsqu'un projet n'entraîne pas une aggravation de la situation existante (TA arrêt AC.2007.0049 du 13 juin 2007 consid. 5 et la référence citée). En l'occurrence, l'accroissement du trafic sur le chemin goudronné menant à la parcelle de la recourante sera insignifiant, puisqu'il ne consistera qu'en quelques mouvements journaliers supplémentaires. Il n'est en outre pas nécessaire que les véhicules se croisent, l'utilisation de ce chemin sur sa partie nord-est par les constructeurs et leurs invités étant limitée à l'accès aux places de parc projetées; une place de retournement à l'extrémité du chemin ne sera donc pas plus nécessaire à l'avenir qu'elle ne l'est maintenant. Les véhicules peuvent parfaitement entrer sur ce chemin en marche arrière, se parquer longitudinalement sur les places litigieuses et repartir en marche avant. C'est d'ailleurs déjà le cas actuellement, comme le montrent les photographies versées au dossier. Il est vrai qu'au débouché sur le chemin du Marais-Bresson, la visibilité est réduite, à gauche par la haie qui borde la parcelle no 480, à droite par le mur qui longe à cet endroit la limite sud-est de la servitude et, surtout, par le bouquet d'arbres planté à l'angle de ce mur, au bord du chemin du Marais-Bresson. Ce genre de situation est toutefois extrêmement courant, dans les quartiers d'habitation de faible densité, aux débouchés d'accès privés sur la voie publique. Compte tenu de la prudence qu'on est en droit d'attendre des usagers familiers des lieux, qu'il n'en résulte généralement pas de risques sérieux pour la sécurité du trafic lorsque, comme en l'espèce, la voie publique en question est un simple chemin de desserte, où la circulation est faible et la vitesse modérée. Au-delà du débouché de la servitude, le chemin du Marais-Bresson ne déssert plus que quatre maisons individuelles et se termine en cul-de-sac. Enfin le trafic sur ce chemin ne connaîtra aucune augmentation du fait de la création des trois places de parc en question. Dans ces circonstances, il a lieu d'admettre que l'accès auxdites places de parc est adapté à l'utilisation prévue.</w:t>
      </w:r>
    </w:p>
    <w:p>
      <w:r>
        <w:rPr>
          <w:b/>
        </w:rPr>
        <w:t>E. 5</w:t>
      </w:r>
    </w:p>
    <w:p>
      <w:r>
        <w:t>La recourante invoque encore la violation de l'art. 39 al. 4 du règlement du 19 septembre 1986 d'application de la LATC (RATC; RSV 700.11.1), en relation avec l'art. 5.4 RCAT. Selon l'art. 5.4 RCAT, les constructions en zone chalets doivent être implantées à cinq mètres au moins des limites de propriété. Les parties de bâtiments non fermées, par exemple marquises, balcons, loggias, terrasses, et les constructions assimilables à des aménagements extérieurs, peuvent empiéter sur les espaces de non bâtir de la parcelle (art. 5.8 al. 1 RCAT). L'art. 39 RATC dispose pour sa part qu'à défaut de dispositions communales contraires, les municipalités sont compétentes pour autoriser dans les espaces réglementaires entre bâtiments ou entre bâtiments et limites de propriétés, la construction de dépendances de peu d'importance, dont l'utilisation est liée à l'occupation du bâtiment principal (al. 1)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D'après le texte clair de l'art. 39 al. 1 RATC, les " espaces réglementaires " sont définis par rapport à la limite de propriété et non par rapport à l'assiette d'une éventuelle servitude au profit de la parcelle voisine. En l'occurrence, les places de parc sont implantées à plus de cinq mètres de la limite de la parcelle de la recourante, qui ne peut donc pas prétendre qu'elle subit un préjudice du fait de leur proximité. Elle affirme certes que leur présence rendra plus difficile et incommode l'exercice de la servitude de passage dont elle bénéficie, mais cet inconvénient, à supposer qu'il soit réel, relève des relations de droit privé entre la recourante et ses voisins; il n'a pas à être pris en considération dans l'application des règles de droit public sur les dépendances et autres ouvrages assimilés. Les places de parc se trouvent en revanche à trois mètres de la parcelle no 480, mais on peut présumer que ses propriétaires n'en subissent aucun préjudice, dès lors qu'ils n'ont pas formé opposition durant l'enquête publique et qu'une haie sépare leur parcelle de celle des constructeurs. Quoi qu'il en soit,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(RDAF 2000 I 257; AC.2004.0137 du 24 janvier 2006 consid. 3a; AC.2001.0255 du 21 mars 2002 consid. 2c et les références citées). Cette condition est manifestement remplie en l'espèce.</w:t>
      </w:r>
    </w:p>
    <w:p>
      <w:r>
        <w:rPr>
          <w:b/>
        </w:rPr>
        <w:t>E. 6</w:t>
      </w:r>
    </w:p>
    <w:p>
      <w:r>
        <w:t>Conformément aux art. 38 et 55 LJPA, un émolument de justice sera mis à la charge de la recourante déboutée, qui supportera également les dépens auxquels peut prétendre la Commune de Trélex, dont la municipalité a procédé par l'intermédiaire d'un avocat et obtient gain de cause. Les constructeurs, qui n'ont pas procédé par l'intermédiaire d'un mandataire professionnel,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