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AC.2006.0128 vom 12. Juni 2007</w:t>
      </w:r>
    </w:p>
    <w:p>
      <w:r>
        <w:t>VD Tribunal cantonal, 2007-06-12, FR</w:t>
      </w:r>
    </w:p>
    <w:p>
      <w:r>
        <w:rPr>
          <w:b/>
        </w:rPr>
        <w:t xml:space="preserve">Quelle: </w:t>
      </w:r>
      <w:r>
        <w:t>https://mcp.opencaselaw.ch/entscheid/vd_omni_AC.2006.0128</w:t>
      </w:r>
    </w:p>
    <w:p>
      <w:r>
        <w:t>FR: VD_OMNI AC.2006.0128 du 12 juin 2007</w:t>
      </w:r>
    </w:p>
    <w:p>
      <w:r>
        <w:t>IT: VD_OMNI AC.2006.0128 del 12 giugno 2007</w:t>
      </w:r>
    </w:p>
    <w:p>
      <w:pPr>
        <w:pStyle w:val="Heading2"/>
      </w:pPr>
      <w:r>
        <w:t>Regeste</w:t>
      </w:r>
    </w:p>
    <w:p>
      <w:r>
        <w:t>WICKY/Municipalité de Blonay, Service Immeubles, Patrimoine et Logistique | Ordre de démolition confirmé d'un mur construit sans autorisation sur le domaine public communal; l'intérêt public à la suppression de l'ouvrage est d'importance, puisque ce dernier constitue de par son opacité une altération des caractéristiques essentielles de la structure villageoise allant à l'encontre des objectifs de sauvegarde préconisés par l'Inventaire ISOS. En outre, la remise en état est conforme au principe de la proportionnalité, car la municipalité s'est engagée à aménager à ses frais une barrière en remplacement du mur en cause, afin de pallier aux nuisances provenant de la route.</w:t>
      </w:r>
    </w:p>
    <w:p>
      <w:pPr>
        <w:pStyle w:val="Heading2"/>
      </w:pPr>
      <w:r>
        <w:t>Erwägungen</w:t>
      </w:r>
    </w:p>
    <w:p>
      <w:r>
        <w:rPr>
          <w:b/>
        </w:rPr>
        <w:t>E. 1</w:t>
      </w:r>
    </w:p>
    <w:p>
      <w:r>
        <w:t>a) L'art. 103 al. 1 1 ère phrase de la loi vaudoise du 4 décembre 1985 sur l'aménagement du territoire et les constructions (ci-après : LATC; RSV 700.11) prévoit qu'aucun travail de construction ou de démolition en surface ou en sous-sol, modifiant de façon sensible la configuration, l'apparence ou l'affectation d'un terrain ou d'un bâtiment, ne peut être exécuté avant d'avoir été autorisé. Cette disposition est précisée par l’art. 68 du règlement d'application de la LATC du 19 septembre 1986 (ci-après : RATC; RSV 700.11.1), lequel soumet notamment à autorisation municipale les constructions nouvelles (art. 68 let. a RATC). b) La jurisprudence du tribunal rendue en application de cette disposition a donné lieu à une casuistique abondante (cf. Droit fédéral et vaudois de la construction, Lausanne 2002, rem. ad art. 103 LATC, p. 262-264). Elle permet d'illustrer ce qu'il faut entendre par une modification "sensible de la configuration, de l'apparence ou l'affectation d'un terrain ou d'un bâtiment" . Le tribunal a récemment considéré qu'un poulailler de 15 m², construit de poutres épaisses et de larges planches, avait un impact sur les lieux qui était loin d'être négligeable et était soumis à autorisation (arrêt du Tribunal administratif TA AC 2002.0221 du 18 mai 2005). Tel est également le cas par exemple d'un miroir fixé sur le mur d'une propriété et destiné à remédier à un manque de visibilité (arrêt TA AC 1998.0027 du 13 septembre 2004). c) Dans le canton de Vaud, l’autorité désignée par la loi pour la délivrance du permis de construire est la municipalité, conformément aux art. 17 et 104 LATC. Selon une jurisprudence constante du Tribunal administratif, les décisions d’octroi ou de refus des autorisations de construire ressortent à la compétence de la municipalité, à l’exclusion de celles d’un conseiller municipal, du syndic, d’une direction des travaux ou d’un fonctionnaire communal (RDAF 1991, 99 ; 1976, 265 ; 1972, 341 ; arrêt TA AC.2003.0089 du 9 juin 2004). d) En l’espèce, il n’est pas contesté que le mur construit par le recourant est un ouvrage soumis à autorisation municipale. Par ailleurs, ce mur a été aménagé sur le domaine public communal contigu à la parcelle du recourant, en surélévation du mur existant de soutènement de la ruelle de Chaucey, ce qui n’est pas non plus contesté. Une autorisation aurait ainsi de toute manière pour ce motif déjà dû être requise auprès de la municipalité. Le recourant soutient que le projet de construction d’une palissade en bois figurerait sur les plans de mise à l’enquête relatifs à la rénovation de son bâtiment d’habitation. Il reconnaît toutefois le caractère symbolique de cette représentation. En effet, le tribunal constate que le trait rouge figurant sur certains plans est pour le moins équivoque et ne permet pas de déceler la nature véritable de l’ouvrage projeté. En outre, son épaisseur est de l’ordre de 5 cm, et sa hauteur de 80 cm. Les dimensions du mur litigieux étant nettement plus élevées (hauteur de 1,80 m), on ne saurait admettre que la municipalité aurait accordé l’autorisation de construire un tel ouvrage. Par ailleurs, le permis de construire ayant été délivré le 7 février 2003, le délai de deux ans prévu à l’art. 118 al. 1 LATC était échu au moment où le recourant a entamé la construction du mur, soit en novembre 2005. L’argument soulevé par le recourant à cet égard doit ainsi être écarté. Il s’agit donc à présent d’examiner si l’absence d’autorisation justifie l’ordre de remise en état litigieux.</w:t>
      </w:r>
    </w:p>
    <w:p>
      <w:r>
        <w:rPr>
          <w:b/>
        </w:rPr>
        <w:t>E. 2</w:t>
      </w:r>
    </w:p>
    <w:p>
      <w:r>
        <w:t>a) La municipalité, à son défaut le département des institutions et des relations extérieures, est en droit de faire supprimer, aux frais des propriétaires, tous travaux qui ne sont pas conformes aux prescriptions légales et réglementaires (art. 105 al. 1 et 130 al. 2 LATC). La seule violation des dispositions de forme relatives à la procédure d'autorisation de construire est en principe insuffisante pour justifier l'ordre de démolition d'un ouvrage non autorisé, si ledit ouvrage est conforme aux prescriptions matérielles applicables (RDAF 1979 p. 231). En outre, la violation du droit matériel par les travaux non autorisés ne suffit pas non plus à elle seule à justifier leur suppression. L'autorité doit examiner la nature et l'importance des aspects non réglementaires des travaux et procéder à une pesée des intérêts en présence, soit l'intérêt public au respect de la loi (et donc à la suppression de l'ouvrage non réglementaire construit sans permis) et l'intérêt privé au maintien de celui-ci (RDAF 1976 p. 265; RDAF 1979 p. 231, 302; RDAF 1982 p. 448). Selon la jurisprudence, l'ordre de démolir une construction ou un ouvrage édifié sans permis et pour lequel une autorisation ne pouvait être accordée n'est en principe pas contraire au principe de la proportionnalité. Celui qui place l'autorité devant un fait accompli doit s'attendre à ce qu'elle se préoccupe davantage de rétablir une situation conforme au droit que des inconvénients qui en découlent pour le constructeur (ATF 108 Ia 216 consid. 4b). L'autorité doit cependant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En principe, le constructeur qui n'a pas agi de bonne foi peut également se prévaloir du principe de la proportionnalité à l'égard d'un ordre de démolition ou de remise en état. Il doit cependant s'accommoder du fait que les autorités, pour des raisons de principe, à savoir pour assurer l'égalité devant le loi et le respect de la réglementation sur les constructions, accorde une importance prépondérante au rétablissement d'une situation conforme au droit et ne prenne pas ou peu en considération les inconvénients qui en résultent pour le maître de l'ouvrage (ATF 123 II 248 consid. 4a p. 255; RDAF 1993 p. 310 consid. 2b et les arrêts cités). b) En l’espèce, la Section cantonale Monuments et Sites a indiqué que le mur litigieux constituait, de par son opacité, une altération des caractéristiques essentielles du site allant à l’encontre des objectifs de sauvegarde préconisés par l’Inventaire ISOS. L’ouvrage a été qualifié par cette autorité de « coupure disqualifiante » pour la rue, car la continuité des espaces entre la rue, le jardin et la maison, caractéristique des hameaux, s’en trouvait atteinte. La section conclut en précisant que la multiplication de ce type d’intervention pourrait conduire à banaliser la structure villageoise en la faisant ressembler à une zone de villas caractérisée par une stricte délimitation entre les espaces public et privé (cf. courrier du 16 avril 2007). Le recourant ne conteste pas cette appréciation. Le tribunal a d’ailleurs pu constater lors de l’inspection locale que le mur constituait un corps étranger dont le défaut d’intégration au tissu villageois n’était pas négligeable. Cet intérêt d’importance permet déjà de justifier l’ordre de démolition. En outre, la municipalité s’est déclarée prête à aménager à ses frais une barrière en remplacement du mur en cause. Le photomontage produit au dossier permet de constater que cette barrière permettrait de sauvegarder l’objectif de continuité des espaces public et privé tout en assurant au recourant et à sa famille une sécurité par rapport à la route. Le recourant n’est cependant pas favorable à l’installation d’une barrière, car selon lui, elle ne permettrait pas de pallier aux nuisances et émissions émanant du trafic routier. Ce n’est toutefois pas dans le cadre de cette procédure de remise en état qu’il incombe d’examiner l’existence ou non d’atteintes à l’environnement. Il appartient ainsi au recourant, s’il le juge utile, d’obtenir les avis des services compétents en la matière. Par ailleurs, même si le trafic en cause est important, la municipalité a indiqué qu’une zone de 30 km/h était sur le point d’être aménagée à la ruelle de Chaucey ainsi que des mesures de modération du trafic sur la route des Pléiades. S’agissant de l’intimité que le recourant souhaiterait protéger par le mur, il faut relever que lors de l’acquisition de la parcelle, seul le muret communal existait, et qu’il s’agissait déjà d’une zone village. Au demeurant, de simples motifs de convenance personnelle ne suffisent pas à s’opposer à la démolition du mur, qui, comme on l’a vu, porte atteinte à des intérêts supérieurs. Par ailleurs, la remise en état est conforme au principe de la proportionnalité, puisqu’elle n’expose pas le recourant à des frais considérables ou serait techniquement irréalisable.</w:t>
      </w:r>
    </w:p>
    <w:p>
      <w:r>
        <w:rPr>
          <w:b/>
        </w:rPr>
        <w:t>E. 3</w:t>
      </w:r>
    </w:p>
    <w:p>
      <w:r>
        <w:t>Il résulte des considérants qui précèdent que le recours doit être rejeté et la décision attaquée maintenue. Le délai d'exécution au 30 juin 2006 doit toutefois être reporté au 31 juillet 2007. Passé ce délai, la municipalité sera fondée à faire procéder elle-même à la remise en état, aux frais du recourant (art. 105 al. 1 et 130 al. 2 LATC). Les frais de justice seront mis à la charge du recourant qui versera aussi à la Commune de Blonay, qui a procédé par l’intermédiaire d’un avocat, une indemnité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