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AC.2006.0122 vom 10. Mai 2007</w:t>
      </w:r>
    </w:p>
    <w:p>
      <w:r>
        <w:t>VD Tribunal cantonal, 2007-05-10, FR</w:t>
      </w:r>
    </w:p>
    <w:p>
      <w:r>
        <w:rPr>
          <w:b/>
        </w:rPr>
        <w:t xml:space="preserve">Quelle: </w:t>
      </w:r>
      <w:r>
        <w:t>https://mcp.opencaselaw.ch/entscheid/vd_omni_AC.2006.0122</w:t>
      </w:r>
    </w:p>
    <w:p>
      <w:r>
        <w:t>FR: VD_OMNI AC.2006.0122 du 10 mai 2007</w:t>
      </w:r>
    </w:p>
    <w:p>
      <w:r>
        <w:t>IT: VD_OMNI AC.2006.0122 del 10 maggio 2007</w:t>
      </w:r>
    </w:p>
    <w:p>
      <w:pPr>
        <w:pStyle w:val="Heading2"/>
      </w:pPr>
      <w:r>
        <w:t>Regeste</w:t>
      </w:r>
    </w:p>
    <w:p>
      <w:r>
        <w:t>CAVIEZEL, FELDER, Municipalité de Tolochenaz, TEDESHI, VALLOTTON/Municipalité de Morges, Karl Steiner SA, Service de l'environnement et de l'énergie, Service de l'aménagement du territoire | Projet de construction sur le territoire de la commune de Morges mais dont l'accès traverse une parcelle sur le territoire de Tolochenaz. La constructrice prétendant à tort avoir soumis le projet à la commune de Tolochenaz par l'intermédiaire de celle de Morges, le tribunal donne acte à la commune de Tolochenaz, recourante, du fait que le permis de construire délivré à Morges ne concerne pas les installations prévues à Tolochenaz.</w:t>
      </w:r>
    </w:p>
    <w:p>
      <w:pPr>
        <w:pStyle w:val="Heading2"/>
      </w:pPr>
      <w:r>
        <w:t>Erwägungen</w:t>
      </w:r>
    </w:p>
    <w:p>
      <w:r>
        <w:rPr>
          <w:b/>
        </w:rPr>
        <w:t>E. 20</w:t>
      </w:r>
    </w:p>
    <w:p>
      <w:r>
        <w:t>octobre 2003) que les recourants n'ont pas contestée. 5.           Comme le relevait déjà la décision sur effet suspensif du 14 juillet 2004, les recourants contestent le permis de construire le bâtiment B délivré par la municipalité, sans contester toutefois les autorisations cantonales qui leur ont été notifiées, conformément à l'art. 123 al. 3 LATC, sous la forme des synthèses CAMAC d'octobre 2003 (identiques sur ce point). Toutefois, une partie de leurs moyens concerne la réduction du nombre de places de parc arrêtée en application de la loi fédérale sur la protection de l'environnement (LPE). Or ce n'est pas la municipalité qui est compétente pour statuer sur l'application de la LPE. En effet, l'art. 2 al. 1 et 2 du règlement cantonal d'application de la LPE, du 8 novembre 1989, prévoit ce qui suit: L'application de la législation sur la protection de l'environnement incombe aux autorités cantonales et communales dans le cadre des compétences qui leur sont attribuées par les lois et règlements en vigueur. S'il y a lieu à autorisation spéciale au sens de la législation sur l'aménagement du territoire et les constructions1, l'autorité compétente est le département désigné par cette législation.(...). Il en résulte que si une autorisation spéciale (au sens de l'art. 120 LATC) est requise, la loi fédérale sur la protection de l'environnement est appliquée par l'autorité cantonale, à l'exclusion de la municipalité. Or en l'espèce, le projet litigieux est assujetti à plusieurs autorisations cantonales si bien que la commune n'est pas compétente. En l'espèce, les recourants n'ont pas contesté la décision cantonale qui applique le droit fédéral de la protection de l'environnement. Leur recours est néanmoins recevable contre la décision des autorités cantonales car la jurisprudence admet que le recours formé contre la décision municipale relative à la délivrance ou au refus du permis de construire est censé également dirigé contre la décision cantonale relative à l'autorisation spéciale lorsque les griefs invoqués dans le recours concernent des points que l'autorité cantonale a examinés ou aurait dû examiner dans sa décision (AC 2002/0032 du 8 janvier 2004). 6.           La compétence municipale étant exclue, il s'agit de déterminer celle des autorités cantonales. a)           La répartition des compétences entre les autorités cantonales est loin d'être claire. Dans son recours du 15 décembre 2003, le Département des Infrastructures souligne que le règlement cantonal du 19 septembre 1986 d'application de la loi cantonale du 4 décembre 1985 sur l'aménagement du territoire et les constructions (RATC) prévoit à son annexe II, pour les bâtiments administratifs et commerciaux, une autorisation spéciale de la compétence du Département de la Sécurité et de l'environnement, plus particulièrement de l'Etablissement cantonal d'assurance incendie, mais il expose aussi que le Service des forêts et de la faune et le Service des eaux, sols et assainissement ont aussi des autorisations spéciales à délivrer. Cependant, dans les différentes versions de la synthèse CAMAC concernant le bâtiment B (il n'est pas intervenu au sujet du bâtiment A) figurant au dossier, l'Etablissement cantonal d'assurance incendie a déclaré délivrer l'autorisation spéciale requise mais n'a jamais abordé la question des places de parc et de la protection de l'environnement ni n'a renvoyé à la position des autres autorités cantonales, réservant seulement, parce que l'affectation des locaux n'est pas connue, les mesures qu'il serait appelé à prendre ultérieurement sur la base d'un dossier complémentaire. Il en va de même pour le Service des forêts et de la faune et le Service des eaux, sols et assainissement. Finalement, la position de l'autorité cantonale sur la réduction des places de parc n'est exprimée que par des services qui, à prendre à la lettre le passage de la synthèse CAMAC qu'ils ont inséré dans celle-ci, n'ont pas pris de décision: le SEVEN déclare qu'il "préavise favorablement le projet quant à la protection de l'air (immissions) et la coordination avec le plan des mesures OPair de Morges" tandis que le SAT "formule la remarque suivante". b)           Les autorités cantonales ont été interpellées en cours de procédure sur la question de savoir laquelle d'entre elles était compétente pour appliquer la loi fédérale sur l'environnement. Même la réponse circonstanciée du Service de l'aménagement du territoire, du 2 août 2004, n'a pas permis de répondre à cette question. Le Tribunal a déjà eu l'occasion de constater que la précision des termes et la clarté de la formulation n'étant pas les qualités dominantes des communications de la CAMAC, il est parfois difficile de discerner si celles-ci comportent l'octroi ou le refus d'une ou plusieurs autorisations spéciales ou si elles expriment simplement l'avis d'un service cantonal, que l'autorité municipale est libre de prendre ou non en considération dans sa propre décision. Cette question doit être tranchée en examinant si les règles applicables au projet de construction ou d'installation en cause confèrent un pouvoir de décision à l'administration cantonale, en d'autres termes, si elles subordonnent le projet à une autorisation cantonale spéciale (AC.2000.0141 du 21 novembre 2001, AC.2002.0006 du 27 juin 2003, AC.2004.0047 du 4 octobre 2004). On renoncera à élucider plus avant dans la présente cause la détermination exacte des compétences des services mentionnés dans la synthèse CAMAC. En effet, les règles attributives de compétence de l'annexe II RATC ne désignent que des départements dans leur entier et non des services. Le Tribunal se bornera à constater que l'objet du litige est constitué par deux bâtiments qui entrent dans la catégorie des "bâtiments administratifs et commerciaux" pour lesquels l'Annexe II RATC prévoit une autorisation spéciale de la compétence du Département de la Sécurité et de l'Environnement. Or tant le SEVEN que le SAT (ce dernier du moins depuis la modification, en date du 28 avril 2004, du règlement du 12 novembre 1997 sur les départements de l'administration ainsi que de l'arrêté du 11 mars 1998 sur la composition des départements et les noms des services de l'administration) appartiennent au Département de la sécurité et de l'environnement, qui est par ailleurs chargé des relations avec l'ECA (v. toutefois sur l'incompétence de ce Département en matière de plans d'affectations l'arrêt AC.2004.0054 du 28 juin 2004). Pour le surplus, le SAT a déclaré le 2 août 2004 qu’il adhérait au préavis modifié du SEVEN résultant de la synthèse CAMAC du 11 mai 2004. La position des autorités cantonales n'est donc plus équivoque: elles admettent le nombre de 140 places de parc pour le bâtiment B (permis de construire, synthèse du 17 octobre 2003) et pour le bâtiment A (autorisation d'implantation), il résulte de la synthèse CAMAC du 11 mai 2004 que: "...le nombre de 121 places est accepté pour autant que des mesures d'accompagnement soient prises, c'est-à-dire un plan de mobilité à soumettre au Service de la mobilité et une réduction des émissions liées au chauffage (amélioration des performances thermiques des bâtiments ou installation d'un système de chauffage sans émissions d'oxydes d'azote)". 7.           Même s'il n'y voient, selon la lettre de leur conseil du 23 août 2004, qu'un aspect subsidiaire par rapport au nombre de passages sur la route, les recourants "manifestent évidemment une préférence pour le chiffre de 215, plutôt que pour celui de 261 places". a)           Les autorités cantonales ont constaté que le projet litigieux se situe dans une zone soumise à un plan de mesures d'assainissement de l'air. Il s'agit du plan de mesures pour la protection de l'air élaboré par l'autorité cantonale, "Commune de Morges" en date du 28 février 1994. Elles ont considéré (selon la position du SEVEN) que "le dimensionnement de l'offre en stationnement constitue un aspect capital quant à la compatibilité d'un projet avec le plan des mesures OPair" . Le plan de mesure est régi par l'art. 44a LPE, qui fait partie des modifications introduites par la novelle du 21 décembre 1995 entrée en vigueur le 1er juillet 1997, ainsi que par diverses dispositions de l'OPair. Comme le Tribunal administratif l'a déjà rappelé (AC 2003/0113 du 2 février 2004; AC 97/0147 du 30 juin 1999), l'art. 44a LPE n'était pas prévu par le projet du Conseil fédéral (FF 1993 II 1467); il a précisément été introduit par la commission du Conseil national (BOCN 1995 III 1332) afin de conférer une base légale aux règles existantes de l’ordonnance (art. 31 ss OPair) et montrer qu’il ne saurait exister d’ordonnance non soumise à la loi (BOCN 1995 p. 2414). L'art. 44a LPE a la teneur suivante: Art. 44a LPE Plans de mesures relatifs aux pollutions atmosphériques 1 Lorsque plusieurs sources de pollutions atmosphériques entraînent des atteintes nuisibles ou incommodantes, ou si de telles atteintes sont à prévoir, l'autorité compétente établit dans un délai fixé un plan de mesures à prendre pour réduire ces atteintes ou pour y remédier (plan de mesures). 2 Les plans de mesures sont contraignants pour les autorités auxquelles les cantons ont confié des tâches d'exécution. Ils distinguent les mesures qui peuvent être ordonnées immédiatement et celles pour lesquelles les bases légales doivent encore être créées. 3 Si le plan prévoit des mesures de la compétence de la Confédération, les cantons présenteront leurs propositions au Conseil fédéral. Quant à l'ordonnance sur la protection de l'air (OPair) du 16 décembre 1985, qui a fait notamment sur ce point l'objet d'une modification du 15 décembre 1997 entrée en vigueur le 1er mars 1998, elle prévoit ce qui suit: Section 2: Mesures contre les immissions excessives Art. 31 Elaboration d’un plan des mesures L'autorité élabore un plan de mesures au sens de l’article 44a de la loi, s’il est établi ou à prévoir que, en dépit de limitations préventives des émissions, des immissions excessives sont ou seront occasionnées par: a.         une infrastructure destinée aux transports; b.         plusieurs installations stationnaires Art. 32 Contenu du plan de mesures Le plan de mesures indique: a.         les sources des émissions responsables des immissions excessives; b.         l’importance des émissions dégagées par les différentes sources par rapport à la charge polluante totale; c.         les mesures propres à réduire les immissions excessives ou à y remédier; d.         l'efficacité de chacune de ces mesures; e.         les bases légales existantes et celles qui restent à créer pour chacune de ces mesures; f.          les délais dans lesquels les mesures doivent être arrêtées et exécutées; g.         les autorités compétentes pour l'exécution des mesures. Par mesures au sens du 1er alinéa, lettre c, il faut entendre: a.         pour les installations stationnaires, des délais d'assainissement plus courts ou une limitation des émissions complémentaire ou plus sévère; b.         pour les installations destinées aux transports, des mesures touchant la construction ou l'exploitation de ces infrastructures ou visant à canaliser ou à restreindre le trafic. Art. 33 Réalisation du plan de mesures Les mesures prévues dans le plan doivent être réalisées en règle générale dans les cinq ans. L’autorité arrête en priorité les mesures pour les installations qui engendrent plus de 10 pour cent de la charge polluante totale. Les cantons contrôlent régulièrement l’efficacité des mesures et adaptent les plans en cas de besoin. Ils en informent le public. b)           En l'espèce, le plan de mesures concernant Morges est antérieur à l'art. 44a LPE et il ne respecte pas les exigences de cette disposition. En particulier, il ne distingue pas les mesures qui peuvent être ordonnées immédiatement et celles pour lesquelles les bases légales doivent encore être créées. Parmi les mesures qu'il préconise, on trouve la construction de parkings souterrains (mesure PA2). On note aussi, parmi les mesures qui n'ont pas été acceptées, l'encouragement du covoiturage au niveau des entreprises (GC13) et l'incitation des employeurs à participer aux frais de déplacement en transport public (TP9). En revanche, on n'y trouve aucune mesure tendant à réduire le nombre de places de parc des nouvelles constructions. En particulier, il n'est pas question non plus, dans le plan de mesures OPair, de modifier le règlement communal sur le plan d'affectation et la police des constructions, qui venait d'entrer en vigueur à l'époque et qui contient au contraire des règles imposant un nombre minimum de places de parc obligatoires. Ce sont ces règles-là que la municipalité a appliquées pour en déduire que la constructrice devrait payer (selon les derniers chiffres articulés dans sa réponse du 29 janvier 2004) 640'000 francs de taxes compensatoires (à savoir 160 places manquantes à 4'000 francs l'unité compte tenu du nombre de 215 places fixé en son temps par l'autorité cantonale). c)           Compte tenu du cadre légal rappelé ci-dessus, on peut se demander si la limitation du nombre de places de parc imposée par les autorités cantonales est au bénéfice d'une base légale. Il faut rappeler en effet que le plan des mesures n’a pas pour effet de créer de nouvelles obligations à la charge des administrés (AC 1997/0147 du 30 juin 1999). L'arrêt AC 2003/0113 du 2 février 2004 (Maison du Sport à Lausanne) le répète en ajoutant que le plan de mesures permet néanmoins de guider les autorités dans l’exercice de leur pouvoir d’appréciation. Le Tribunal administratif a aussi jugé (AC.2001.0157 du 22 mai 2002), en application de la jurisprudence fédérale (ATF 119 Ib 480 consid. 5d p.486-487; 118 Ib 26 consid. 5e p. 35), que tant que l'autorité cantonale n'a pas modifié le plan des mesures ou n'a pas pris d'autres mesures provisionnelles comme l'adoption d'une zone réservée au sens de l'art. 27 LAT, l'autorité ne peut pas refuser d'autoriser une construction conforme aux prescriptions de la zone et qui ne produit pas de nuisances excessives ou supérieures à la moyenne. Le SAT paraît d'un avis différent quant il expose (dans le recours du 15 décembre 2003 qu'il a retiré depuis lors) que selon lui, un plan des mesures peut (même si le projet n'entraîne pas d'émissions supérieures à la moyenne) faire obstacle à l'autorisation de réaliser des installations conformes aux plans d'affectation en vigueur. Cependant, même s'il fallait suivre cette opinion, la limitation du nombre de places de parc devrait être prévue par le plan de mesures, ce qui n'est précisément pas le cas à Morges (voir par exemple l'ATF 125 II 129 consid. 7b in fine où le TF relève que la décision du tribunal cantonal annulant l'obligation de tarifer les places privées échappe à la critique, cette mesure n'étant pas prévue par le plan de mesures; v. encore ATF 124 II 272, consid 4 et 5). Quant à l'art. 40a RATC (qui n'est qu'une disposition de niveau réglementaire et non une loi), il n'a pour effet de rendre applicable la norme VSS 640'290 (anciennement 641'400) qu'à défaut de réglementation communale sur le nombre de places de parc, ce qui  n'est pas la cas à Morges. d)           On peut finalement s'abstenir de trancher définitivement la question de savoir si la limitation du nombre de places de parc imposée à la constructrice par les autorités cantonales est au bénéfice d'une base légale. En effet, comme cette limitation n'est pas contestée par la constructrice à laquelle elle est imposée, le tribunal peut se contenter de constater que les recourants n'ont pas entrepris de discuter la manière dont l'autorité cantonale, qui déclare appliquer la norme VSS 640'290, est parvenue -  en dernière analyse dans la synthèse CAMAC du 11 mai 2004 - à la conclusion que 261 places pouvaient être admises, ce qui correspond finalement au projet mis à l'enquête. On observera même que selon la notice d'impact, le nombre de places selon la norme VSS 640'290 pourrait être plus élevé suivant le scénario envisagé (185 à 263 places pour le scénario A, 200 à 286 places pour le scénario B, ces nombres correspondant respectivement à 70% ou 100% du besoin limite). L'application de la norme 640'290 implique de toute manière une analyse complexe de la situation de fait (type d'entreprise, groupe de visiteurs, niveau de service et accessibilité des transports publics, type de transport public, etc.) qui laisse une large marge d'appréciation. Le Tribunal administratif ne saurait, lorsque le calcul n'est pas critiqué par le recours, substituer sa propre appréciation à celle de l'autorité de première instance. Il n'y a donc pas lieu de faire droit aux conclusions des recourants - formulée en cours d'instances - relatives au nombre de places de parc. 8.           Les recourants invoquent l'esthétique des superstructures techniques en toiture. Sur ce point toutefois, la constructrice a fourni de nouveaux plans et durant la suspension de l'audience, les recourants les ont examiné et ils déclaré pouvoir les admettre. Cela montre, même si la commune ne s'est pas encore prononcée sur ces plans (qu'elle n'avait pas reçu), que la constructrice est en mesure de réduire la taille des superstructures de manière à les rendre acceptables pour les recourants. Cette question est ainsi effectivement susceptible de se régler par le biais d'une décision complémentaire de la municipalité et on ne saurait donc faire grief à cette dernière d'avoir délivré le permis de construire le bâtiment B malgré le fait que les superstructures ne pouvaient pas être autorisées telles qu'elles avaient été mises à l'enquête. Quant au bruit des installations de ventilation qui se trouveraient sur le toit, les recourants ne motivent pas leur contestation et il n'y pas lieu de mettre en doute la notice d'impact et la prise de position du SEVEN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