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AC.2006.0042 vom 22. Dezember 2006</w:t>
      </w:r>
    </w:p>
    <w:p>
      <w:r>
        <w:t>VD Tribunal cantonal, 2006-12-22, FR</w:t>
      </w:r>
    </w:p>
    <w:p>
      <w:r>
        <w:rPr>
          <w:b/>
        </w:rPr>
        <w:t xml:space="preserve">Quelle: </w:t>
      </w:r>
      <w:r>
        <w:t>https://mcp.opencaselaw.ch/entscheid/vd_omni_AC.2006.0042</w:t>
      </w:r>
    </w:p>
    <w:p>
      <w:r>
        <w:t>FR: VD_OMNI AC.2006.0042 du 22 décembre 2006</w:t>
      </w:r>
    </w:p>
    <w:p>
      <w:r>
        <w:t>IT: VD_OMNI AC.2006.0042 del 22 dicembre 2006</w:t>
      </w:r>
    </w:p>
    <w:p>
      <w:pPr>
        <w:pStyle w:val="Heading2"/>
      </w:pPr>
      <w:r>
        <w:t>Regeste</w:t>
      </w:r>
    </w:p>
    <w:p>
      <w:r>
        <w:t>Groupe Prisme Immobilier &amp; Réalisations SA/Municipalité d'Yverdon-les-Bains, TRACHSLER, Jacques Leuba SA, RUETSCHI TECHNOLOGY AG | Clause d'esthétique. Les 7 villas projetées reliées entre elles par un garage - toutes identiques et coiffées de toits à la Mansart - ne présentent en elles-mêmes pas un aspect architectural satisfaisant et ne s'intègrent pas à l'environnement.</w:t>
      </w:r>
    </w:p>
    <w:p>
      <w:pPr>
        <w:pStyle w:val="Heading2"/>
      </w:pPr>
      <w:r>
        <w:t>Erwägungen</w:t>
      </w:r>
    </w:p>
    <w:p>
      <w:r>
        <w:rPr>
          <w:b/>
        </w:rPr>
        <w:t>E. 1</w:t>
      </w:r>
    </w:p>
    <w:p>
      <w:r>
        <w:t>La question de savoir si le Groupe Prisme SA a, en tant qu'employeur de l'auteur des plans, qualité pour recourir peut demeurer indécise, dans la mesure où le recours doit de toute façon être rejeté sur fond. A cela s’ajoute que Jacques Leuba SA, agissant par l’intermédiaire du Groupe Prisme SA, est de toute manière habilitée à recourir en tant que promettant acquéreur de la parcelle litigieuse.</w:t>
      </w:r>
    </w:p>
    <w:p>
      <w:r>
        <w:rPr>
          <w:b/>
        </w:rPr>
        <w:t>E. 2</w:t>
      </w:r>
    </w:p>
    <w:p>
      <w:r>
        <w:t>Lorsque la perméabilité du sol est assurée et que cet aménagement est accompagné d'une arborisation, les surfaces gravillonnées ou dallées peuvent être prises en compte dans le calcul."</w:t>
      </w:r>
    </w:p>
    <w:p>
      <w:r>
        <w:rPr>
          <w:b/>
        </w:rPr>
        <w:t>E. 3</w:t>
      </w:r>
    </w:p>
    <w:p>
      <w:r>
        <w:t>m. Selon les plans mis à l’enquête, la corniche se situerait à une hauteur de</w:t>
      </w:r>
    </w:p>
    <w:p>
      <w:r>
        <w:rPr>
          <w:b/>
        </w:rPr>
        <w:t>E. 6</w:t>
      </w:r>
    </w:p>
    <w:p>
      <w:r>
        <w:t>m 05, en tant que mesurée au niveau de la partie inférieure du toit brisé (brisis). La Municipalité estime pour sa part que la hauteur de la corniche doit être calculée à partir du niveau de la brisure (panne intermédiaire) s’agissant d’un toit à la Mansart, ce qui correspondrait à une hauteur de 8 m 50  (qui ne serait ainsi pas réglementaire). A noter que le RPGA ne contient aucune disposition sur la manière de déterminer la hauteur à la corniche lorsque le bâtiment est coiffé d'un toit à la Mansart. Autrement dit, en l'absence de dispositions réglementaires expresses, on ne saurait suivre la Municipalité lorsqu’elle dit vouloir mesurer la hauteur à la corniche depuis la hauteur de la panne intermédiaire. Il n’est cependant pas nécessaire de trancher définitivement la question de savoir si en l’espèce la hauteur à la corniche est ou non respectée, du moment que les toitures à la Mansart telles que projetées en l'espèce ne sont pas admissibles sous l'angle de l’esthétique. e) La Municipalité a renoncé à motiver son refus de permis de construire par le fait que l’indice d’utilisation du sol (IUS) de 0,64 au sens de l’art. 51.2 ch. 2  RPGA serait dépassé. 4. a) A l’appui de son refus du permis de construire, la Municipalité se fonde également sur l’art. 86 LATC et sur l'art 3 RPGA ainsi libellé : « 1     Les dispositions qualitatives du plan général d'affectation priment les dispositions quantitatives. 2 Les dispositions qualitatives ont trait à : -       l'intégration de l'objet construit dans le site naturel ou bâti ; -       la recherche d'une architecture de valeur ; -       la prise en compte de facteurs favorisant l'urbanité et la sécurité ; -       la conservation et la réalisation d'espaces extérieurs significatifs ; -       la prise en compte et la maîtrise des nuisances sonores, visuelles et               atmosphériques. 3 Les dispositions quantitatives traitent entre autres : -       de la densité par les indices d'utilisation, d'occupation du sol et de masse ; -       des distances aux limites ; -       des périmètres d'implantation ; -       des hauteurs. " L’art. 86 LATC précise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Tribunal administratif, arrêts AC.2004.0102 du 6 avril 2005, AC.1993.0125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AC.1993.0240 du 19 avril 1994; AC.1993.0257 du</w:t>
      </w:r>
    </w:p>
    <w:p>
      <w:r>
        <w:rPr>
          <w:b/>
        </w:rPr>
        <w:t>E. 10</w:t>
      </w:r>
    </w:p>
    <w:p>
      <w:r>
        <w:t>mai 1994; AC. 1995.0268 du 1er mars 1996; AC.1999.0228 du 18 juillet 2000; AC.1998.0166 du 20 avril 2001). b) En l'espèce la Municipalité est d'avis que le parti architectural adopté par la recourante a été dicté par un souci de tirer le maximum des possibilités constructibles offertes par le règlement, sans se soucier en rien de l'intégration des constructions. Elle estime que les toitures à la Mansart dans ce périmètre ne sont pour le moins pas adaptées et seraient incompatibles avec l'art. 130 RPGA prévoyant notamment que  l'architecture des toitures en ce qui concerne notamment leurs formes, doit être en concordance avec le parti architectural du bâtiment et s'insérer de façon cohérente dans l'urbanisme des lieux à savoir la rue, l'îlot et le quartier. Il est vrai qu’il ressort des photographies produites par la recourante que le quartier où devraient s’implanter les villas litigieuses ne comprend que des bâtiments surplombés de toits à deux pans ou de toits plats. Avec la Municipalité, on peut admettre que les toits à la Mansart s’intègreraient mal à l’environnement et seraient susceptibles de compromettre l’aspect du quartier. La Municipalité reproche également le caractère trop unitaire de la construction et la répétition monotone de l'architecture sur un grand nombre de bâtiments. Là encore, il faut reconnaître que les 7 villas projetées ne présentent pas un aspect architectural satisfaisant. Il n'y a pas de commencement ni de fin, puisque toutes les villas sont rigoureusement identiques y compris celles qui se trouvent aux deux extrémités malgré leur situation particulière. La recourante rétorque que la mise en valeur de la parcelle est difficile à développer et que le concept d’une base unitaire permettant les distributions, les circulations et l’élévation des parties habitables confèrent à ces unités, certes répétitives, une fonctionnalité évidente dans un site transitoire entre deux zones très différentes, soit un zone industrielle et une zone habitable. Il n’en demeure pas moins que le traitement architectural des villas projetées pourrait être considérablement amélioré. Le fait que les rez-de-chaussée supérieurs se trouvent en surplomb par rapport aux rez-de-chaussée   inférieurs crée un aspect visuel dérangeant et peu harmonieux. La Municipalité n’a pas commis un excès ou un abus de son large pouvoir d’appréciation en invoquant les dispositions communales et cantonales relatives à l’esthétique des constructions pour refuser le permis de construire litigieux. 5. Vu ce qui précède, le recours doit être rejeté dans la mesure où il est recevable. Déboutée, la recourante supportera les frais judiciaires et versera des dépens à la Commune d'Yverdon-les-Bains, qui obtient gain de cause avec le concours d'un mandataire professionnel. Ruetschi Technology AG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