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AC.2005.0285 vom 26. Oktober 2006</w:t>
      </w:r>
    </w:p>
    <w:p>
      <w:r>
        <w:t>VD Tribunal cantonal, 2006-10-26, FR</w:t>
      </w:r>
    </w:p>
    <w:p>
      <w:r>
        <w:rPr>
          <w:b/>
        </w:rPr>
        <w:t xml:space="preserve">Quelle: </w:t>
      </w:r>
      <w:r>
        <w:t>https://mcp.opencaselaw.ch/entscheid/vd_omni_AC.2005.0285</w:t>
      </w:r>
    </w:p>
    <w:p>
      <w:r>
        <w:t>FR: VD_OMNI AC.2005.0285 du 26 octobre 2006</w:t>
      </w:r>
    </w:p>
    <w:p>
      <w:r>
        <w:t>IT: VD_OMNI AC.2005.0285 del 26 ottobre 2006</w:t>
      </w:r>
    </w:p>
    <w:p>
      <w:pPr>
        <w:pStyle w:val="Heading2"/>
      </w:pPr>
      <w:r>
        <w:t>Regeste</w:t>
      </w:r>
    </w:p>
    <w:p>
      <w:r>
        <w:t>BELLITTO/Municipalité de Boussens | Confirmation de l'ordre de démolition d'un abri téléscopique en plexiglas - dont la superficie (54,6 m2) ne permet pas de le considérer selon le règlement communal comme une dépendance -, aux motifs qu'il ne respecte pas la distance entre bâtiments (garage semi-enterré de 165m2 à env. 3m) et qu'il apparaît inesthétique dans la zone de village, où le législateur communal a imposé des règles restrictives pour maintenir l'identité, l'image et l'harmonie villageoises.</w:t>
      </w:r>
    </w:p>
    <w:p>
      <w:pPr>
        <w:pStyle w:val="Heading2"/>
      </w:pPr>
      <w:r>
        <w:t>Erwägungen</w:t>
      </w:r>
    </w:p>
    <w:p>
      <w:r>
        <w:rPr>
          <w:b/>
        </w:rPr>
        <w:t>E. 1</w:t>
      </w:r>
    </w:p>
    <w:p>
      <w:r>
        <w:t>Déposé dans le délai de vingt jours fixé par l’art. 31 de la loi du 18 décembre 1989 sur la juridiction et la procédure administratives (LPJA), le recours a été interjeté en temps utile. Il est au surplus recevable en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vaudoise sur l'aménagement du territoire et les constructions du 4 décembre 1985 (LATC) ne prévoit un pouvoir de contrôle de l'autorité de recours à l'opportunité qu'en matière de recours contre les plans d'affectation communaux (art. 60 LATC), ce qui n'est pas l'objet du présent litige.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Tribunal administratif, arrêt PE.1997.0615 du 10 février 1998).</w:t>
      </w:r>
    </w:p>
    <w:p>
      <w:r>
        <w:rPr>
          <w:b/>
        </w:rPr>
        <w:t>E. 2.1</w:t>
      </w:r>
    </w:p>
    <w:p>
      <w:r>
        <w:t>qui limite le nombre de logements à quatre unités au maximum par bâtiment, sauf cas exceptionnel, et qui impose aux bâtiments implantés le long des rues du village à affecter en partie le rez-de-chaussée à d’autres usages que l’habitation. L’article 6.2 al. 2 RCAT oblige le propriétaire qui désire soumettre à l’enquête publique un projet de construction nouvelle ou de transformation à présenter à la municipalité une esquisse de ses intentions ou un avant-projet, pour que cette autorité se détermine sur le principe des travaux projetés et, le cas échéant, fixe ses exigences en ce qui concerne l’implantation, l’orientation, l’architecture des façades et les matériaux apparents. Les toitures doivent y avoir une pente plus marquée (60 à 100 %) que dans les autres zones et elles doivent être constituées de petites tuiles plates du pays d’un ton correspondant aux toitures traditionnelles de la région (art. 6.5 RCAT). La municipalité peut également renoncer à certaines exigences en matière de garages ou de places de stationnement, lorsque leur réalisation porte atteinte au caractère d’une rue, d’un bâtiment ou d’un groupe de bâtiments (art. 8.4 al. 4 RCAT). On relèvera également que l’inspection locale, contrairement aux affirmations du recourant, n’a pas révélé dans la zone de village la présence de constructions similaires à l’abri de piscine. En effet, seul un abri a été posé, loin du village, au lieu-dit "Les Brits". En ce qui concerne l'abri lui-même, dépassant le sol de plus de deux mètres et posé en contre-haut de la rue du Village et sur une partie très dégagée de la parcelle no 16, il est particulièrement exposé à la vue. Quand bien même son impact visuel peut être réduit en grande partie par une arborisation adéquate, sa structure polygonale et entièrement vitrée forme un contraste saisissant avec les maisons et constructions voisines. Force est donc de constater que le souci du législateur au maintien du caractère villageois de la zone en question est très marqué et qu’en y étant particulièrement attentive, la municipalité n’a manifestement pas abusé de son pouvoir d’appréciation en invoquant les dispositions communales et cantonales relatives à l’esthétique des constructions et la protection des sites pour refuser la mise en conformité de l’abri litigieux. Pour cette même raison, elle est également fondée à ne pas faire usage de la clause dérogatoire du RCAT (art. 11), réservée à des cas exceptionnels, qui sont énumérés et au nombre desquels l'abri en question ne figure pas.</w:t>
      </w:r>
    </w:p>
    <w:p>
      <w:r>
        <w:rPr>
          <w:b/>
        </w:rPr>
        <w:t>E. 3</w:t>
      </w:r>
    </w:p>
    <w:p>
      <w:r>
        <w:t>a) A l’appui de sa décision, la municipalité soutient en premier lieu que la distance de quatre mètres entre le garage semi-enterré et l’abri litigieux viole la disposition communale sur les distances minimales à respecter entre bâtiments situés sur une même parcelle en zone village (art 4.2 RCAT), ainsi rédigée: « Les distances minima entre un bâtiment et la limite de la propriété voisine, si ce n’est pas le domaine public et entre deux bâtiments distincts implantés sur la même propriété sont en zone village de trois mètres, respectivement six mètres ». Pour sa part, le recourant soutient que cette disposition ne s’applique pas lorsqu’il s’agit de deux dépendances. Il ajoute que même si le garage ne devait pas être considéré comme une dépendance, il n’y aurait de toute façon pas lieu d’en tenir compte dès lors qu’il est semi-enterré. b) L’article 4.4 RCAT dispose que la municipalité peut autoriser la construction dans les espaces de non-bâtir entre deux bâtiments ou entre un bâtiment et la limite de la propriété voisine, si ce n’est pas le domaine public, de petits bâtiments de moins de 40 m² de superficie et de trois mètres de hauteur à la corniche au maximum. Ces bâtiments ne peuvent servir, ni à l’habitation, ni à l’exercice d’une activité professionnelle. Pour le surplus, l’article 12 RCAT renvoie à la LATC et à son règlement d’application du 19 septembre 1986 (RATC). Selon l'art. 39 RATC, les municipalités sont compétentes pour autoriser, après enquête publique, dans les espaces réglementaires entre bâtiments ou entre bâtiments et limites de propriété, la construction de dépendances de peu d'importance, dont l'utilisation est liée à l'occupation du bâtiment principal (al. 1). Par dépendances de peu d'importance, on entend des constructions distinctes du bâtiment principal, sans communication interne avec celui-ci et dont le volume est de peu d'importance par rapport à celui du bâtiment principal, tels que pavillons, réduits de jardin ou garages particuliers pour deux voitures au plus (al. 2). Ces règles sont également valables pour d’autres ouvrages que des dépendances proprement dites : murs de soutènement, clôtures, places de stationnement à l’air libre notamment (al. 3). Selon sa fiche de fabrication, l’abri de piscine télescopique mesure, déployé, 10 mètres 50 par 5 mètres 20 - sur sa plus petite largeur -, soit une aire d'au moins 54,6 m². Une telle superficie excède la limite prévue par l’article 4.4 RATC, ce qui ne lui permet plus d’être considéré comme une dépendance, mais bien comme un nouveau bâtiment. Il sied ensuite de déterminer si le garage, dont les dimensions (environ 15 mètres sur 11 mètres) en font également un bâtiment distinct, doit être pris en compte dans le calcul d’une distance entre deux bâtiments dès lors qu’il est semi-enterré. c) L’article 84 LATC prescrit que le règlement communal peut prévoir que les constructions souterraines ou semi-enterrées ne sont pas prises en considération dans le calcul de la distance aux limites ou entre bâtiments ou dans le coefficient d’occupation d’utilisation du sol. Dans sa jurisprudence, le Tribunal administratif en a déduit – a contrario – qu’à défaut de disposition réglementaire expresse, les règles sur le calcul des distances et des coefficients s’appliquent sans réserve (voir arrêt AC.2003.0088 du 30 mai 2006). Or, si l’article 4.3 RCAT prévoit effectivement une dérogation pour les constructions souterraines en ce qui concerne la distance à la limite de la propriété voisine, aucune disposition semblable n’est en revanche prévue quant au respect des distances entre bâtiments, de sorte qu’en l’absence d’une réglementation communale expresse, ces règles s’imposent sans restriction. Comme on l'a vu, la distance minimale de six mètres n’est pas respectée entre le garage et l’abri litigieux. On peut toutefois se demander si cette distance ne doit pas être réduite à trois mètres, comme le prévoit l’article 4.2 al. 3 RCAT entre façades aveugles ou parties aveugles de façades pour autant que les dispositions applicables en matière de protection contre l’incendie soient respectées. Dans la mesure où les parois de l’abri de piscine sont en plexiglas transparent, on peut sérieusement en douter. Quoi qu’il en soit, un autre motif s’oppose à l’admission du recours.</w:t>
      </w:r>
    </w:p>
    <w:p>
      <w:r>
        <w:rPr>
          <w:b/>
        </w:rPr>
        <w:t>E. 4</w:t>
      </w:r>
    </w:p>
    <w:p>
      <w:r>
        <w:t>L'art. 86 al. 1 LATC prévoit que la municipalité veille à ce que les constructions, quelle que soit leur destination, ainsi que les aménagements qui leur sont liés, présentent un aspect architectural satisfaisant et s'intègrent à l'environnement. Aux termes de l’art. 6.1 RCAT, la municipalité prend les mesures nécessaires pour sauvegarder la qualité du paysage, les sites construits ou naturels et éviter les atteintes au milieu et à l’environnement. Les bâtiments et les installations qui, par leur destination, leurs formes ou leurs proportions, sont de nature à compromettre l’harmonie des lieux ou l’homogénéité d’un quartier ou d’une rue sont interdits. Dans la zone de village, les constructions nouvelles, leurs formes, leurs volumes, leurs proportions, l’architecture de leurs façades et notamment le rythme et la forme des percements, leurs couleurs et les matériaux utilisés doivent s’insérer à l’ensemble de façon à former un tout homogène et harmonieux. Les toitures sont à pans, dans la règle à deux pans (art. 6.2 al. 1 RCAT). Le recourant considère que la municipalité effectue une application arbitraire de cette disposition, faisant obstacle, sans motif pertinent d’intérêt public, à la mise en conformité de son abri de piscine.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101 Ia 213 ss, 114 Ia 345, 115 Ia 114, 115 Ia 345; Tribunal administratif, arrêt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 AC.1993.0240 du 19 avril 1994; AC.1998.0166 du 20 avril 2001, AC.2004.0102 du 6 avril 2005, AC.2004.0275 du 30 mars 2006, AC.2006.0025 du 21 septembre 2006).</w:t>
      </w:r>
    </w:p>
    <w:p>
      <w:r>
        <w:rPr>
          <w:b/>
        </w:rPr>
        <w:t>E. 5</w:t>
      </w:r>
    </w:p>
    <w:p>
      <w:r>
        <w:t>En l’occurrence, la municipalité a expliqué que, pour des raisons d’esthétique, les verrières et autres constructions en verre, hormis les vérandas attenantes aux bâtiments principaux, n’étaient pas autorisées dans la zone villageoise. Elle a précisé que de manière générale, les règles du RCAT en zone village sont restrictives, afin de garder l’identité, l’image et l’harmonie du centre du village et qu’elle tenait fermement à respecter la volonté du législateur communal dans cette zone. A la lecture du RCAT, on constate en effet que la zone village fait l’objet de nombreuses précisions, qui tendent à limiter les possibilités de construction et à accroître la marge de manoeuvre et le pouvoir d’appréciation de la municipalité. On peut ainsi citer l’article</w:t>
      </w:r>
    </w:p>
    <w:p>
      <w:r>
        <w:rPr>
          <w:b/>
        </w:rPr>
        <w:t>E. 6</w:t>
      </w:r>
    </w:p>
    <w:p>
      <w:r>
        <w:t>La municipalité est en droit de faire supprimer ou modifier, aux frais du propriétaire, tous travaux qui ne sont pas conformes aux prescriptions légales et réglementaires (art. 105 al. 1 LATC). Par démolition, il faut entendre non seulement la démolition proprement dite de travaux effectués sans droit, mais aussi la remise en état des lieux (RDAF 1992 p. 480; arrêts AC.1992.0046 du 25 février 1993, AC.1996.0069 du 15 octobre 1996, AC.2004.0102 du 6 avril 2005). La non-conformité d'un ouvrage aux prescriptions légales ou réglementaires ne peut cependant pas justifier dans tous les cas un ordre de démolition. Cette question doit être examinée en application des principes constitutionnels, dont celui de la proportionnalité.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Comme on l’a vu, l’intérêt public au maintien du caractère et de l’image de la zone de village est important. A cela s’ajoute également des motifs d’égalité de traitement entre les différents propriétaires de la zone; aucune autre construction similaire n'y est visible et la municipalité s'est montrée ferme quant à sa détermination à ne pas autoriser d'exceptions. Le recourant peut en outre difficilement se prévaloir de sa bonne foi dans la mesure où, venant de construire une piscine en respectant la procédure idoine, il a outrepassé cette dernière à peine deux mois plus tard. D'ailleurs, le permis de construire délivré le 23 août 2005 pour la piscine mentionnait expressément qu'aucune modification ne pouvait être apportée au projet sans l'autorisation de la municipalité. Pour les mêmes raisons, on ne saurait suivre le recourant lorsqu’il explique qu’il a été induit en erreur par le vendeur de l’abri en question. Au demeurant, aucune pièce au dossier ne vient confirmer ses affirmations. Enfin, il n’apparaît pas disproportionné d’exiger du recourant qu’il démonte cet abri, dès lors que celui-ci n'est pas ancré au sol, mais repose sur des roulettes et que sa valeur, 30'000 francs, ne constituera pas une perte sèche, l’abri presque neuf pouvant être revendu à un tiers.</w:t>
      </w:r>
    </w:p>
    <w:p>
      <w:r>
        <w:rPr>
          <w:b/>
        </w:rPr>
        <w:t>E. 7</w:t>
      </w:r>
    </w:p>
    <w:p>
      <w:r>
        <w:t>En application de l’article 55 LJPA, il convient de mettre à la charge du recourant un émolument de justice et d’allouer des dépens à la Commune de Boussens, qui a obtenu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