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AC.2005.0279 vom 14. August 2006</w:t>
      </w:r>
    </w:p>
    <w:p>
      <w:r>
        <w:t>VD Tribunal cantonal, 2006-08-14, FR</w:t>
      </w:r>
    </w:p>
    <w:p>
      <w:r>
        <w:rPr>
          <w:b/>
        </w:rPr>
        <w:t xml:space="preserve">Quelle: </w:t>
      </w:r>
      <w:r>
        <w:t>https://mcp.opencaselaw.ch/entscheid/vd_omni_AC.2005.0279</w:t>
      </w:r>
    </w:p>
    <w:p>
      <w:r>
        <w:t>FR: VD_OMNI AC.2005.0279 du 14 août 2006</w:t>
      </w:r>
    </w:p>
    <w:p>
      <w:r>
        <w:t>IT: VD_OMNI AC.2005.0279 del 14 agosto 2006</w:t>
      </w:r>
    </w:p>
    <w:p>
      <w:pPr>
        <w:pStyle w:val="Heading2"/>
      </w:pPr>
      <w:r>
        <w:t>Regeste</w:t>
      </w:r>
    </w:p>
    <w:p>
      <w:r>
        <w:t>GRISEL, FAVRE/Municipalité de Préverenges, Service de l'environnement et de l'énergie, Service des routes | Le permis de construire un collège ne peut pas être délivré si l'accès implique la réalisation d'un giratoire et que les procédures concernant celui-ci (projet routier, marché public, financement) n'on pas abouti.</w:t>
      </w:r>
    </w:p>
    <w:p>
      <w:pPr>
        <w:pStyle w:val="Heading2"/>
      </w:pPr>
      <w:r>
        <w:t>Erwägungen</w:t>
      </w:r>
    </w:p>
    <w:p>
      <w:r>
        <w:rPr>
          <w:b/>
        </w:rPr>
        <w:t>E. 1</w:t>
      </w:r>
    </w:p>
    <w:p>
      <w:r>
        <w:t>Les recourants sont propriétaires de parcelles sises à proximité du projet litigieux. Celui-ci, qui concerne un important complexe scolaire, les touche dès lors plus que quiconque et ils ont un intérêt digne de protection à recourir. Ils ont agi dans le délai de vingt jours prévu par l’article LJPA. Les recours sont dès lors recevables.</w:t>
      </w:r>
    </w:p>
    <w:p>
      <w:r>
        <w:rPr>
          <w:b/>
        </w:rPr>
        <w:t>E. 2</w:t>
      </w:r>
    </w:p>
    <w:p>
      <w:r>
        <w:t>a) S elon les art. 22 al. 2 let. b LAT et 104 al. 3 LATC,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(v. de façon plus générale sur cette question, André Jomini, Commentaire de la LAT, Zurich 1999, n. 18 ad art. 19 LAT). S'agissant de l'accès, la notion d'équipement revêt un double aspect : elle implique non seulement que le bien-fonds soit raccordé à une voie publique par un accès adapté à l'utilisation prévue, mais encore elle sous-tend que la route de desserte vouée à l'usage commun soit également apte à absorber le trafic lié à la destination de l'immeuble (ibid. n. 12). b) En l’espèce, de l’aveu même de l’autorité intimée, l’accès projeté nécessite de réaliser un giratoire, ce qui implique de mener à terme diverses procédures distinctes : un projet routier au sens de l’art. 13 LROU doit être soumis à l’enquête publique ; le financement des travaux doit être approuvé par l’autorité communale ; auparavant, une procédure relative aux marchés publics doit être conduite à son terme. C’est dire qu’on ne saurait affirmer qu’à l’issue de la réalisation des travaux du nouveau collège, le giratoire projeté sera à disposition. Dans ces conditions, c’est à juste titre que les recourants invoquent un défaut d’équipement en accès.</w:t>
      </w:r>
    </w:p>
    <w:p>
      <w:r>
        <w:rPr>
          <w:b/>
        </w:rPr>
        <w:t>E. 3</w:t>
      </w:r>
    </w:p>
    <w:p>
      <w:r>
        <w:t>Les motifs qui précèdent conduisent à l’admission des recours. Obtenant gain de cause et ayant procédé par l’intermédiaire d’un avocat, Pascal Favre a droit à des dépens, dont il convient de fixer le montant à 1'500 francs. Le SEVEN, qui agit pour l’Etat, n’a pas droit à des dépens (ATF 1 P. 755 / 2001) et ne peut donc pas obtenir le paiement de la facture qu’il a adressée au Tribunal administratif pour la rédaction de ses déterminations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