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AC.2005.0200 vom 30. Dezember 2005</w:t>
      </w:r>
    </w:p>
    <w:p>
      <w:r>
        <w:t>VD Tribunal cantonal, 2005-12-30, FR</w:t>
      </w:r>
    </w:p>
    <w:p>
      <w:r>
        <w:rPr>
          <w:b/>
        </w:rPr>
        <w:t xml:space="preserve">Quelle: </w:t>
      </w:r>
      <w:r>
        <w:t>https://mcp.opencaselaw.ch/entscheid/vd_omni_AC.2005.0200</w:t>
      </w:r>
    </w:p>
    <w:p>
      <w:r>
        <w:t>FR: VD_OMNI AC.2005.0200 du 30 décembre 2005</w:t>
      </w:r>
    </w:p>
    <w:p>
      <w:r>
        <w:t>IT: VD_OMNI AC.2005.0200 del 30 dicembre 2005</w:t>
      </w:r>
    </w:p>
    <w:p>
      <w:pPr>
        <w:pStyle w:val="Heading2"/>
      </w:pPr>
      <w:r>
        <w:t>Regeste</w:t>
      </w:r>
    </w:p>
    <w:p>
      <w:r>
        <w:t>Mandry/Municipalité de Les Clées | Décision municipale refusant une couleur blanche sans nuances appliquée sans autorisation sur les parties boisées d'une ancienne ferme. L'art. 47 al. 2 ch. 1 LATC constitue une base légale suffisante permettant aux communes de prescrire dans leurs plans et règlements d'affectation les dispositions sur les couleurs extérieures des bâtiments et le règlement communal comporte des dispositions qui permettent à la commune d'interdire une couleur qui trancherait nettement avec celle des constructions environnantes. La décision municipale est en outre justifiée par un intérêt public prépondérant, car la couleur blanche crée un contraste choquant avec le bâtiment existant et avec l'environnement caractéristique d'une zone de village. Conformité de la décision avec la garantie de la propriété.</w:t>
      </w:r>
    </w:p>
    <w:p>
      <w:pPr>
        <w:pStyle w:val="Heading2"/>
      </w:pPr>
      <w:r>
        <w:t>Erwägungen</w:t>
      </w:r>
    </w:p>
    <w:p>
      <w:r>
        <w:rPr>
          <w:b/>
        </w:rPr>
        <w:t>E. 1</w:t>
      </w:r>
    </w:p>
    <w:p>
      <w:r>
        <w:t>La décision municipale exige le remplacement de la couleur blanche appliquée sur les parties boisées de la ferme de la recourante, ainsi que sur l’annexe au bâtiment, en couleur brune. Cette décision constitue une restriction au droit de propriété. Il convient donc de déterminer si une telle restriction est compatible avec la garantie constitutionnelle de la propriété (art. 26 de la Constitution fédérale du 18 avril 1999 ; ci-après : la constitution ou Cst). a) Les restrictions à la propriété sont compatibles avec la constitution lorsqu'elles reposent sur une base légale, sont justifiées par un intérêt public suffisant et respectent le principe de proportionnalité (art. 36 al. 1 à 3 Cst; voir aussi ATF 126 I 219 consid. 2a et 2c p. 221/222; pour la jurisprudence relative à l'art. 22ter aCst, voir ATF 121 I 117 consid. 3b p. 120; 120 Ia 126 consid. 5a p. 142; 270 consid.</w:t>
      </w:r>
    </w:p>
    <w:p>
      <w:r>
        <w:rPr>
          <w:b/>
        </w:rPr>
        <w:t>E. 3</w:t>
      </w:r>
    </w:p>
    <w:p>
      <w:r>
        <w:t>p. 273; 119 Ia 348 consid. 2a p. 353 et les arrêts cités). b)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 André Grisel , Traité de droit administratif, Vol.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 André Grisel , op. cit., Vol. I, p. 323-325). Mais la délégation de compétence en faveur du législateur communal n'a pas besoin d'être délimitée aussi strictement quant à son objet qu'une délégation en faveur de l'autorité exécutive cantonale ou communale; en pareil cas la délégation législative ne fait que préciser la répartition des compétences entre canton et commune sans porter atteinte au principe de la séparation des pouvoirs et au contrôle démocratique (voir ATF 122 I 305 consid. 5a p. 312; ATF 120 Ia 265 consid. 2a p. 266-267; voir aussi ATF 104 Ia 340 consid. 4b = JT 1979 I 342 et ATF 102 Ia 10 consid. 3b = JT 1978 I 371). Mais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(expropriation) ou lorsque des interdictions ou des prescriptions rendent impossible ou beaucoup plus difficile une utilisation du sol conforme à sa destination (ATF 121 I 117 consid. 3a/bb p. 120; 115 Ia 363 consid. 2a p. 365 et les arrêts cités). aa) La loi sur l'aménagement du territoire et les constructions du 4 décembre 1985 (ci-après : LATC) précisait à son art. 47 al. 1 let. i, que les plans et les règlements d'affectation communaux pouvaient fixer les prescriptions relatives aux conditions de construction tels que coefficients d'occupation et d'utilisation du sol, distance aux limites ou entre bâtiments, implantation, contiguïté, dimension, forme et structure des bâtiments et des toitures, choix des matériaux et des couleurs extérieures , traitement architectural, destination et accès des niveaux ou de locaux à usage commun ainsi que les isolations phoniques. Cette disposition a toutefois été modifiée le 4 février 1998. Le nouvel art. 47 al. 2 ch. 1 LATC ne comporte plus les indications relatives au choix des matériaux et des couleurs extérieures. Cette nouvelle disposition se limite à préciser que les plans d'affectation communaux peuvent contenir les dispositions relatives "aux conditions de construction, tels qu'implantation, distances entre bâtiments ou aux limites, cote d'altitude, ordre des constructions, limite des constructions, le long, en retrait ou en dehors des voies publiques existantes ou à créer, destination et accès des niveaux ou de locaux à usage commun, isolation phonique." On ne saurait toutefois déduire de cette modification une volonté claire du législateur visant à priver les communes de la possibilité de fixer dans leur réglementation des dispositions relatives aux matériaux et aux couleurs extérieures des bâtiments. L'exposé des motifs du Conseil d'Etat se limite à préciser sur ce point que le ch. 1 du nouvel art. 47 al. 2 LATC ne fait que regrouper certaines dispositions existantes (BGC janvier 1998 p. 7217). Les règles communales sur les dimensions, formes et structures des bâtiments et des toitures ainsi que celles concernant le choix des matériaux et des couleurs extérieures et le traitement architectural font en effet partie des conditions de construction dont la liste à l'art. 47 al. 2 ch. 1 LATC ne présente pas un caractère exhaustif. Ces règles ne privent d'ailleurs pas le propriétaire d'une faculté essentielle du droit de propriété et les restrictions qu'elles imposent ne sauraient être qualifiées de graves. La délégation législative aux communes apparaît ainsi suffisante dès lors que le principe de la restriction (conditions de construction) résulte clairement de la délégation législative; de plus cette délégation législative s'adresse au législateur communal dont la décision sur la réglementation en matière de plan d'affectation, soumise au référendum facultatif (art. 107 de la loi sur l'exercice des droits politiques du 16 mai 1989), présente les caractéristiques d'une base légale formelle de niveau communal (ATF précités 122 I 305 consid. 5a p. 312; 120 consid. Ia 265 consid. 2a p. 266-267). Ainsi, il faut admettre que le nouvel art. 47 al. 2 ch. 1 LATC constitue une base légale suffisante permettant aux communes de prescrire dans leurs plans et règlements d'affectation les dispositions sur le choix des matériaux et des couleurs extérieures des bâtiments. bb) L’art. 28 du règlement sur le plan d’extension et la police des constructions de la Commune de Les Clées (ci-après : le règlement communal), approuvé par le Conseil d’Etat le 6 mai 1983, a la teneur suivante : « Couleurs Toutes les couleurs des peintures extérieures ou des enduits des constructions, les teintes des matériaux de toiture, tous les murs et clôtures, ainsi que les matériaux utilisés pour leur construction doivent être approuvés préalablement par la Municipalité qui peut exiger un échantillonnage qui doit rester à disposition de la Municipalité jusqu’après l’exécution des travaux ». Une clause d’esthétique est prévue à l’art. 27 du règlement communal en ces termes : « La Municipalité peut prendre toutes mesures pour éviter l’enlaidissement du territoire communal. Les constructions, agrandissements, transformations de toutes espèces, les crépis et peintures, les affiches, etc. de nature à nuire au bon aspect d’un lieu sont interdits. Sur l’ensemble du territoire communal, principalement à proximité des routes, chemins et sentiers, les installations et travaux non soumis à autorisation, doivent avoir un aspect satisfaisant ». L’art. 29 du règlement communal, relatif aux murs et clôtures, est libellé en ces termes : « Tous les murs et clôtures, ainsi que les teintes et les matériaux utilisés pour leur construction doivent être préalablement autorisés par la Municipalité. La Municipalité peut interdire tous les murs, plantations et clôtures qui compromettraient l’esthétique et le caractère d’un quartier ». Enfin, le règlement communal contient une disposition qui définit le but de la zone du village à l’article 6, dont la teneur est la suivante : « Elle doit être aménagée de façon à conserver les éléments et l’ensemble dans leur aspect caractéristique, tant pour les bâtiments et leur environnement immédiat que pour la voirie et les espaces non construits ». cc) La jurisprudence de l'ancienne Commission de recours en matière de construction a posé des principes d'interprétation des règles communales sur les couleurs extérieures : lorsqu'une disposition communale exige que les teintes des bâtiments nouveaux ou transformés s'harmonisent avec celles des constructions existantes, cette règle ne doit pas être interprétée de façon à limiter à l'excès la liberté laissée au propriétaire ou au constructeur dans le choix d'une couleur de façade. En présence d'une telle disposition, la liberté des constructeurs, même limitée, reste importante. Ceux-ci sont libres de proposer des teintes que l'on suppose répondre à leurs goûts, l'autorité devant éliminer parmi celles-ci, les couleurs qui lui semblent devoir être écartées (RDAF 1985, p. 329; RDAF 1977, p. 333; RDAF 1973 p. 354-355). Aussi, la règle communale qui permet à la municipalité d'interdire les peintures de nature à nuire au bon aspect d'un lieu n'habilite pas l'autorité municipale à imposer une tonalité précise, car la finalité d'une telle norme consiste uniquement à prévenir toute dysharmonie et contraste choquant (RDAF 1973, p. 354; RDAF 1976, p. 53). Ainsi, le fait qu'une couleur soit insolite ne suffit pas à la bannir si elle n'est ni criarde, ni outrageusement agressive. Elle peut en revanche être prohibée si elle ne s'harmonise pas avec celle des constructions environnantes, sur le fond desquelles elle trancherait nettement (RDAF 1976, p. 53; RDAF 1973, p. 354). En résumé, il n'appartient pas à la municipalité d'imposer ses propres conceptions et références, même si elle bénéficie d'un large pourvoir d'appréciation dans ce domaine; son intervention se limite à proscrire les teintes outrancières ou sans référence aucune avec l'aspect des constructions avoisinantes (RDAF 1985, p. 329; RDAF 1977 p. 333). Ainsi, le tribunal arrive à la conclusion que les articles précités du règlement communal constituent une base légale suffisante pour permettre à l’autorité intimée d'interdire une couleur qui trancherait nettement avec celle des constructions environnantes ou qui porterait atteinte aux caractéristiques essentielles de la zone de village. c) Une restriction à la garantie de la propriété, pour être compatible avec la garantie constitutionnelle, doit encore être justifiée par un intérêt public prépondérant. La notion d'intérêt public est particulièrement large en matière de garantie de la propriété; elle n'est limitée que dans la mesure où le but visé est de nature purement fiscale ou contraire à d'autres normes constitutionnelles (v. ATF 111 Ia 93 consid. 2b p. 98). Les dispositions cantonales et communales relatives à l'esthétique des constructions répondent en principe à un intérêt public important, concrétisé par l'art. 3 al. 2 let. b de la loi fédérale sur l'aménagement du territoire du 22 juin 1979 (LAT) tendant à ce que les constructions prises isolément ou dans leur ensemble ainsi que les installations s'intègrent dans le paysage. Un intérêt public est d'ailleurs reconnu par la jurisprudence non seulement pour la protection d'un paysage d'une qualité exceptionnelle mais également pour des aspects du paysage auxquels on pouvait n'attribuer qu'une importance relative et qui peuvent néanmoins justifier aujourd'hui, ou même imposer, une intervention de l'autorité destinée à préserver ces sites construits et paysages. Un tel intérêt répond aux tendances actuelles en matière de protection des paysages et des monuments, conçue non seulement comme protection d'objets isolés de grande valeur mais aussi comme protection d'ensemble (ATF 101 Ia 213 consid. 6a p. 221). Le tribunal doit donc admettre qu'il existe un intérêt public permettant à l’autorité intimée d'exercer un contrôle sur le choix des couleurs des revêtements extérieurs des bâtiments et installations, dans la mesure où ce contrôle s'exerce dans les limites fixées par les buts d'intégration à l'environnement recherchés par la disposition réglementaire. En l’espèce, le tribunal a constaté, lors de l’inspection locale, que la peinture blanche sans nuances appliquée sur les parties boisées de l’ancien pont de grange, ainsi que sur celles de l’annexe à la ferme, créait un contraste choquant avec le bâtiment existant et avec l’environnement caractéristique d’une zone de village. Un blanc cru, sans teinte, agresse immédiatement le regard ; il peine à s’harmoniser dans un ensemble architectural et paysager qui inspire l’apaisement. En effet, le vieux bourg de La Russille est composé d’anciennes fermes cossues qui forment un ensemble harmonieux dont l’aspect doit rester sobre. En exigeant que cette peinture blanche soit remplacée par une teinte en accord avec la galerie en bois naturel de la façade Est, l’autorité intimée n’a donc pas excédé son pouvoir d’appréciation. 2. Il résulte des considérants qui précèdent que le recours doit être rejeté et la décision attaquée maintenue. Un émolument de justice, arrêté à 1'500 fr., sera mis à la charge de la recourante. Pour le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