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AC.2005.0194 vom 25. Oktober 2006</w:t>
      </w:r>
    </w:p>
    <w:p>
      <w:r>
        <w:t>VD Tribunal cantonal, 2006-10-25, FR</w:t>
      </w:r>
    </w:p>
    <w:p>
      <w:r>
        <w:rPr>
          <w:b/>
        </w:rPr>
        <w:t xml:space="preserve">Quelle: </w:t>
      </w:r>
      <w:r>
        <w:t>https://mcp.opencaselaw.ch/entscheid/vd_omni_AC.2005.0194</w:t>
      </w:r>
    </w:p>
    <w:p>
      <w:r>
        <w:t>FR: VD_OMNI AC.2005.0194 du 25 octobre 2006</w:t>
      </w:r>
    </w:p>
    <w:p>
      <w:r>
        <w:t>IT: VD_OMNI AC.2005.0194 del 25 ottobre 2006</w:t>
      </w:r>
    </w:p>
    <w:p>
      <w:pPr>
        <w:pStyle w:val="Heading2"/>
      </w:pPr>
      <w:r>
        <w:t>Regeste</w:t>
      </w:r>
    </w:p>
    <w:p>
      <w:r>
        <w:t>Fromer/Service de l'aménagement du territoire, Municipalité de Savigny | Mise à l'enquête publique exigée pour une plate-forme (passerelle) aménagée sur un étang et pour un barbecue installé aux abords immédiats de ce dernier. Concernant le barbecue, il s'agit d'un aménagement susceptible de provoquer des odeurs incommodantes ainsi que des nuisances sonores liées à des ambiances festives, de sorte que d'éventuels inconvénients au voisinage ne sont pas exclus. Concernant la passerelle, elle forme un projet global avec le barbecue; elle ne saurait donc être dispensée d'enquête publique.</w:t>
      </w:r>
    </w:p>
    <w:p>
      <w:pPr>
        <w:pStyle w:val="Heading2"/>
      </w:pPr>
      <w:r>
        <w:t>Erwägungen</w:t>
      </w:r>
    </w:p>
    <w:p>
      <w:r>
        <w:rPr>
          <w:b/>
        </w:rPr>
        <w:t>E. 1</w:t>
      </w:r>
    </w:p>
    <w:p>
      <w:r>
        <w:t>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w:t>
      </w:r>
    </w:p>
    <w:p>
      <w:r>
        <w:rPr>
          <w:b/>
        </w:rPr>
        <w:t>E. 2</w:t>
      </w:r>
    </w:p>
    <w:p>
      <w:r>
        <w:t>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w:t>
      </w:r>
    </w:p>
    <w:p>
      <w:r>
        <w:rPr>
          <w:b/>
        </w:rPr>
        <w:t>E. 3</w:t>
      </w:r>
    </w:p>
    <w:p>
      <w:r>
        <w:t>Il résulte ainsi des considérants qui précèdent que le recours doit être partiellement admis. Le chiffre 1 de la décision attaquée constatant que les travaux en cause ont été réalisés sans autorisation doit être maintenu. Les chiffres 2 à 4 concernant les travaux d'aménagement de l'enclos existant doivent en revanche être annulés et le chiffre 5 réformé en ce sens que le recourant doit également être invité à présenter un dossier complet de demande de permis de construire pour les travaux de réaménagement et d'assainissement de l'enclos, le délai devant toutefois être reporté au 31 janvier 2007. Les frais de justice seront mis à la charge du recourant qui versera aussi à la municipalité les dépens qui ont été occasionnés par la réalisation des travaux sans autorisation.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