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AC.2005.0110 vom 29. März 2006</w:t>
      </w:r>
    </w:p>
    <w:p>
      <w:r>
        <w:t>VD Tribunal cantonal, 2006-03-29, FR</w:t>
      </w:r>
    </w:p>
    <w:p>
      <w:r>
        <w:rPr>
          <w:b/>
        </w:rPr>
        <w:t xml:space="preserve">Quelle: </w:t>
      </w:r>
      <w:r>
        <w:t>https://mcp.opencaselaw.ch/entscheid/vd_omni_AC.2005.0110</w:t>
      </w:r>
    </w:p>
    <w:p>
      <w:r>
        <w:t>FR: VD_OMNI AC.2005.0110 du 29 mars 2006</w:t>
      </w:r>
    </w:p>
    <w:p>
      <w:r>
        <w:t>IT: VD_OMNI AC.2005.0110 del 29 marzo 2006</w:t>
      </w:r>
    </w:p>
    <w:p>
      <w:pPr>
        <w:pStyle w:val="Heading2"/>
      </w:pPr>
      <w:r>
        <w:t>Regeste</w:t>
      </w:r>
    </w:p>
    <w:p>
      <w:r>
        <w:t>GIROUD/GAUTHEY, Municipalité de Belmont-sur-Yverdon | Le confort supplémentaire résultant de l'apport d'un maximum d'éclairage dans des locaux d'habitation ne constitue pas un motif suffisant pour permettre l'octroi d'une dérogation au sens de l'art. 85 LATC, en particulier lorsque d'autres solutions sont possibles, qui ne nécessitent pas de dérogation. (consid. 3f)</w:t>
      </w:r>
    </w:p>
    <w:p>
      <w:pPr>
        <w:pStyle w:val="Heading2"/>
      </w:pPr>
      <w:r>
        <w:t>Erwägungen</w:t>
      </w:r>
    </w:p>
    <w:p>
      <w:r>
        <w:rPr>
          <w:b/>
        </w:rPr>
        <w:t>E. 1</w:t>
      </w:r>
    </w:p>
    <w:p>
      <w:r>
        <w:t>Le recourant soutient que la démolition de l'appentis et son remplacement par une salle de séjour surmontée d'une terrasse constitue une reconstruction prohibée par l'art. 80 al. 3 de la loi sur l'aménagement du territoire et les constructions du 4 décembre 1986 (LATC), au motif que l'on ne se trouve pas dans un cas de destruction accidentelle. A supposer que cette partie du projet puisse être considéré comme une transformation, celle-ci serait contraire à l'art. 80 al. 2 LATC. Il considère en effet l'appentis comme une dépendance de peu d'importance au sens de l'art. 39 du règlement d'application de la LATC (RATC), dont l'affectation à l'habitation ne saurait être autorisée par le biais de l'art. 80 al. 2 LATC. a) Selon la jurisprudence du Tribunal fédéral relative à la garantie de la propriété (art. 26 Cst) et à l’interdiction de la rétroactivité (art. 5 Cst), il n'est par principe pas admissible d'appliquer immédiatement de nouvelles restrictions du droit de propriété à des constructions existantes établies conformément à l’ancien droit. On parle dans ce cas de garantie de la situation acquise. Pour autant qu’un intérêt public prépondérant ne l’interdise pas, il faut au moins que la poursuite de l’utilisation antérieure et l’entretien normal soient autorisés. Les cantons sont habilités à garantir la situation acquise d’une manière plus large encore. C’est ainsi qu’ils peuvent – sous réserve d’intérêts prépondérants de la planification – permettre également la rénovation, le changement d’affectation, l'agrandissement et même la reconstruction complète d’une construction existante (ATF 1P.418/2002 du 16 décembre 2002 citant ATF 113 Ia 119 consid. 2a p. 122). Dans le Canton de Vaud, la garantie de la situation acquise est régie par l’art. 80 LATC, qui prévoit ce qui suit: "¹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²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³ 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L'art. 37 RPGA reprend cette formulation. En l'occurrence, on constate que le corps litigieux du bâtiment ECA 43 ne respecte pas les distances à la limite prévues par l'art. 7 RPGA. Il en est d'ailleurs de même du corps principal. Le projet est par conséquent soumis au régime de l'art. 80 LATC. b) En premier lieu se pose la question de savoir si les travaux visant l'appentis litigieux consistent en une reconstruction (al. 3) ou en une transformation (al. 2). aa) Selon la jurisprudence, la transformation est l'opération qui modifie la répartition interne des volumes construits ou l'affectation de tout ou partie de ses volumes sans que le gabarit de l'ouvrage soit augmenté et sans que, en elle-même, l'affectation de nouveaux locaux ne soit contraire à la réglementation communale. On considère ainsi comme travaux de transformation ceux qui rendent habitables une grange dans un ancien rural, par exemple. La reconstruction se caractérise quant à elle par le remplacement d'éléments d'un ouvrage par d'autres éléments semblables, ne laissant subsister que quelques parties secondaires de l'ouvrage primitif (TA, arrêts du 26 novembre 1991 AC.1990.7432 et du 16 septembre 2004 AC.2000.0188). Pour les qualifier de transformation ou de reconstruction, il faut mettre les travaux en regard de l'ensemble du bâtiment touché (TA, arrêts du 2 décembre 1992 AC.1991.0006 et du 25 février 2004 AC.2003.0118). bb) En l'occurrence, la démolition et la reconstruction ne touche qu'un des corps du bâtiment ECA 43. Cette partie des travaux apparaît comme secondaire, comparée à l'ensemble du projet mis à l'enquête, de telle sorte que le projet ne saurait être qualifié de reconstruction, au sens de la jurisprudence précitée, mais bien de transformation. Par conséquent, il doit être examiné sous l'angle de l'art. 80 al. 2 LATC, à l'exclusion de l'art. 80 al. 3 LATC. c) Si on le suit bien, le recourant considère que le projet viole l'art. 80 al. 2 LATC, en raison du fait que l'appentis devrait être qualifié de dépendance de peu d'importance et l'habitation y serait par conséquent proscrite, conformément aux articles 39 RATC et 49 RPGA. En réalité, le régime applicable aux bâtiments contraires aux règles de la zone doit être distingué de celui applicable aux dépendances. De deux choses l'une: soit la construction répond à la définition de dépendance et peut être admise conformément aux règles de la zone à l'intérieur des espaces réglementaires, mais l'habitation y est alors prohibée par les art. 39 RATC et 49 RPGA; soit elle ne répond pas à cette définition, et constitue alors en l'espèce un bâtiment contraire aux règles sur la distance aux limites, ce qui conduit à devoir examiner si le projet de transformation aggrave l'atteinte à ces règles, au sens de l'art. 80 al.</w:t>
      </w:r>
    </w:p>
    <w:p>
      <w:r>
        <w:rPr>
          <w:b/>
        </w:rPr>
        <w:t>E. 2</w:t>
      </w:r>
    </w:p>
    <w:p>
      <w:r>
        <w:t>Le recourant invoque la violation de l'art. 36 al. 4 RPGA. a) Selon cette disposition: "Les bâtiments en note 4 (bien intégrés) du recensement architectural peuvent être modifiés et, le cas échéant, faire l'objet de démolition et de reconstruction pour des besoins objectivement fondés et pour autant que soient respectés le caractère spécifique de leur intégration et l'harmonie des lieux. La Municipalité peut refuser le permis de construire pour un projet qui compromettrait le caractère architectural du bâtiment, notamment par une suroccupation du bâtiment." Cette disposition du RPGA constitue une disposition d'application de l'art. 86 LATC à teneur duquel: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Selon la jurisprudence abondante relative à cette disposition, le soin de veiller à l'aspect architectural des constructions appartient en première ligne aux autorités locales qui disposent à cet égard d'un large pouvoir d'appréciation (v. TA arrêts AC 1999/0228 du 18 juillet 2000 et références citées, AC 1999/0112 du 29 septembre 2000). Cela ne vide toutefois pas le contrôle judiciaire de son sens, le tribunal devant être à même de vérifier si l'autorité intimée s'est fondée sur des critères pertinents et si l'application de ceux-ci à la situation concrète est correcte (TA, arrêt AC 1996/0160 du 22 avril 1997 et les références citées). Dans ce cadre, l'autorité doit notamment veiller à ne pas appliquer la clause d'esthétique de telle sorte que cela viderait pratiquement de sa substance la réglementation de la zone en vigueur (ATF 114 1a 345, RDAF 1996 p. 103 consid. 3b et les références citées). L'examen de l'esthétique interviendra sur la base de critères objectifs généralement reçus et sans sacrifier à un goût ou à un sens esthétique particulièrement aigu, de manière que le poids de la subjectivité, inévitable en toute appréciation, n'influe que dans les limites de principes éprouvés par référence à des notions communément admises (TA, arrêts AC 1999/0002 du 25 juin 1999 et références citées; AC 1999/0112 du 29 septembre 2000). Enfin, une interdiction de construire fondée sur l'art. 86 LATC et ses dispositions d'application ne peut se justifier que par un intérêt public prépondérant, notamment lorsqu'il s'agit de protéger un site, un bâtiment ou un ensemble de bâtiments présentant des qualités esthétiques remarquables qui font défaut à l'ouvrage projeté ou que mettent en péril sa construction (TA, arrêts AC 1999/0228 du 18 juillet 2000; AC 1999/0112 du 29 septembre 2000). b) En l'occurrence, le tribunal constate que le projet de transformation respecte de manière générale l'architecture du bâtiment existant. Le recourant critique en particulier le léger arrondis de la palissade. On aurait pu certes imaginer que le sommet de cet élément de construction soit plat ou qu'il forme par exemple une ligne en prolongement de la toiture. L'on ne saurait cependant exiger une telle modification de détail dès lors que cette appréciation repose essentiellement sur des éléments subjectifs. Il reste que le projet ne soulève pas de problème particulier d'intégration dans le quartier, qui comporte d'ailleurs une maison d'habitation de conception moderne sur une parcelle située vis-à-vis du bien-fonds de Michel Gauthey. Par ailleurs, contrairement à ce que prétend le recourant, le projet ne conduit pas à une suroccupation du bâtiment ECA 43, si l'on se réfère en particulier à l'art. 12 RPGA. On note à ce propos que, compte tenu d'un cube SIA de près de 1'300 m³, indiqué dans le formulaire de mise à l'enquête, le bâtiment litigieux pourrait contenir jusqu'à trois logements. c) Il résulte de ce qui précède que la municipalité n'a pas abusé de son pouvoir d'appréciation en estimant que le projet était conforme à l'art. 36 du règlement communal et, de manière plus générale, aux exigences d'intégration esthétique découlant de l'art. 86 LATC. Ce moyen du recourant doit par conséquent être écarté.</w:t>
      </w:r>
    </w:p>
    <w:p>
      <w:r>
        <w:rPr>
          <w:b/>
        </w:rPr>
        <w:t>E. 3</w:t>
      </w:r>
    </w:p>
    <w:p>
      <w:r>
        <w:t>Dans la règle, les ouvertures en toiture doivent être séparées les unes des autres. La Municipalité peut toutefois autoriser le regroupement de deux lucarnes ou de deux châssis rampants, sous réserve d'un traitement architectural approprié (voir alinéa 2).</w:t>
      </w:r>
    </w:p>
    <w:p>
      <w:r>
        <w:rPr>
          <w:b/>
        </w:rPr>
        <w:t>E. 4</w:t>
      </w:r>
    </w:p>
    <w:p>
      <w:r>
        <w:t>Les châssis rampants faîtiers (verrière) sont autorisés; leur grand côté peut être parallèle au faîte pour autant que leur longueur soit limitée au 3/5 de celle du faîte.</w:t>
      </w:r>
    </w:p>
    <w:p>
      <w:r>
        <w:rPr>
          <w:b/>
        </w:rPr>
        <w:t>E. 5</w:t>
      </w:r>
    </w:p>
    <w:p>
      <w:r>
        <w:t>Les châssis rampants non faîtiers (velux ou verrière) doivent être plus hauts que larges et leur largeur hors tout ne doit pas excéder 1,00 mètre.</w:t>
      </w:r>
    </w:p>
    <w:p>
      <w:r>
        <w:rPr>
          <w:b/>
        </w:rPr>
        <w:t>E. 6</w:t>
      </w:r>
    </w:p>
    <w:p>
      <w:r>
        <w:t>Les lucarnes, dans les zones où elle sont autorisées, ne peuvent être installées que dans les pans de toit dont la pente est égale ou supérieure à 60 %. Il ne peut y avoir plus d'une rangée de lucarnes par pan de toiture; leur largeur ne doit pas excéder 1,50 mètre.</w:t>
      </w:r>
    </w:p>
    <w:p>
      <w:r>
        <w:rPr>
          <w:b/>
        </w:rPr>
        <w:t>E. 7</w:t>
      </w:r>
    </w:p>
    <w:p>
      <w:r>
        <w:t>Au-dessus d'une rangée de lucarnes en saillie ou de châssis rampants, seuls sont autorisés les châssis rampants aux dimensions analogues à celles d'un châssis tabatière.</w:t>
      </w:r>
    </w:p>
    <w:p>
      <w:r>
        <w:rPr>
          <w:b/>
        </w:rPr>
        <w:t>E. 8</w:t>
      </w:r>
    </w:p>
    <w:p>
      <w:r>
        <w:t>Toute ouverture en toiture doit être située au minimum à une distance de 1 mètre en-dessous du faîte ou du châssis rampant faîtier. La largeur additionnée de toutes les ouvertures dans un pan de toiture - châssis rampants faîtiers non compris - ne doit pas être supérieure au 2/5 de la longueur du pan de toit aménagé. Est considéré comme longueur du pan de toit la moyenne entre la longueur au faîte et celle à l'égout. 9,10,11 (…)." bb) Le projet prévoit deux rangées de châssis rampants de mêmes dimensions (78/118) sur chaque pan de toiture. Pour être conforme à l'art. 47 al. 7 RPGA, les châssis rampants de la rangée du dessus doivent être de dimensions analogues à celles d'un "châssis tabatière". Le règlement communal n'indique pas de dimension spécifique pour les tabatières, de sorte qu'il faut se référer à la notion communément admise pour ce type d'ouverture. Selon la jurisprudence du tribunal administratif, une tabatière consiste en une ouverture de dimension restreinte (TA, arrêt du 27 mai 2003, AC.2003.0029), permettant notamment un accès sur le toit (tabatière de service). Les dimensions de 55/78 d'un châssis rampant se rapprochent de celles d'une tabatière (TA, arrêt du 23 juin 1995, AC.1994.0206; cf. aussi, Droit fédéral et vaudois de la construction, éd. Payot 2002, p. 498). En l'occurrence, les dimensions des châssis rampants ne sauraient être considérées comme analogues à celles d'une tabatière. Les ouvertures projetées en toitures ne peuvent ainsi être admise qu'au bénéfice d'une dérogation. Il convient dès lors d'examiner ci-après si la dérogation accordée respecte les conditions de l'art. 61 RPGA et 85 LATC. cc) En l'occurrence, on ne se trouve pas dans une situation particulière où l'octroi d'une dérogation s'avèrerait indispensable pour éviter les effets rigoureux de la réglementation applicable. L'apport d'un maximum d'éclairage aux locaux du premier et des combles constitue certes un choix avantageux, mais d'autres solutions semblent possibles qui ne nécessitent aucune dérogation. Il serait par exemple envisageable de supprimer les châssis rampants éclairant les locaux du premier étage, qui disposent d'autres surfaces d'éclairage en suffisance. La dérogation accordée à l'art. 47 RPGA, qui semble avoir pour seul justification un confort supplémentaire, ne saurait par conséquent  être admise. 4. Le recourant soutient que la décision du SAT autorisant la construction d'un abri-tunnel en zone agricole, reproduite dans la synthèse CAMAC du 30 avril 2004, pose comme condition le maintien des possibilités de stockage de matériel dans le bâtiment litigieux, ce qui, si on le suit bien, condamne implicitement le projet mis à l'enquête dans son ensemble. On voit mal comment la condition posée par le SAT pourrait être interprétée comme exigeant le maintien de l'affectation actuelle de la grange pour l'entreposage de matériel, alors même que ce service déclare ce local impropre à une utilisation agricole. Cette exigence concerne en réalité l'évacuation des machines et autres dépôts situés en zone de verdure, en raison du fait que cette zone est inconstructible et donc impropre à servir à l'entreposage de matériel, étant entendu qu'il incombe à Michel Gauthey de trouver un lieu approprié à cette fin. Ce moyen du recourant doit par conséquent également être rejeté. 5. Il résulte des considérants ci-dessus que le recours de Claude-Alain Giroud doit être partiellement admis. En effet, la décision levant son opposition doit être réformée en ce sens que la délivrance du permis de construire est subordonnée à l'inscription des servitudes foncières et personnelles prévue par l'art. 58 al. 4 RPGA, à la suppression du réduit de jardin (art. 11 RPGA et art. 80 al. 2 LATC) et à la modification des ouvertures en toitures (art. 47 RPGA). La décision attaquée doit être confirmée pour le surplus, de sorte que le recourant succombe ainsi sur la plupart des moyens qu'il a soulevés. En application de l'art. 55 de la loi sur la juridiction et la procédure administratives du 18 décembre 1989 (LJPA), le tribunal estime dès lors qu'il se justifie de mettre les frais de la présente procédure à la charge du recourant à raison des 4/5, le solde étant mis à la charge de Michel Gauthey, et d'astreindre le recourant à verser des dépens réduits en faveur de la commune et du constructeur.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