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AC.2005.0096 vom 22. Dezember 2005</w:t>
      </w:r>
    </w:p>
    <w:p>
      <w:r>
        <w:t>VD Tribunal cantonal, 2005-12-22, FR</w:t>
      </w:r>
    </w:p>
    <w:p>
      <w:r>
        <w:rPr>
          <w:b/>
        </w:rPr>
        <w:t xml:space="preserve">Quelle: </w:t>
      </w:r>
      <w:r>
        <w:t>https://mcp.opencaselaw.ch/entscheid/vd_omni_AC.2005.0096</w:t>
      </w:r>
    </w:p>
    <w:p>
      <w:r>
        <w:t>FR: VD_OMNI AC.2005.0096 du 22 décembre 2005</w:t>
      </w:r>
    </w:p>
    <w:p>
      <w:r>
        <w:t>IT: VD_OMNI AC.2005.0096 del 22 dicembre 2005</w:t>
      </w:r>
    </w:p>
    <w:p>
      <w:pPr>
        <w:pStyle w:val="Heading2"/>
      </w:pPr>
      <w:r>
        <w:t>Regeste</w:t>
      </w:r>
    </w:p>
    <w:p>
      <w:r>
        <w:t>RUSCONI/Municipalité de Pully | Il n'est pas disproportionné d'ordonner la suppression de velux non autorisés lorsque la réglementation communale sur l'esthétique des toitures est mise à mal par une politique du fait accompli du constructeur.</w:t>
      </w:r>
    </w:p>
    <w:p>
      <w:pPr>
        <w:pStyle w:val="Heading2"/>
      </w:pPr>
      <w:r>
        <w:t>Erwägungen</w:t>
      </w:r>
    </w:p>
    <w:p>
      <w:r>
        <w:rPr>
          <w:b/>
        </w:rPr>
        <w:t>E. 1</w:t>
      </w:r>
    </w:p>
    <w:p>
      <w:r>
        <w:t>En tant qu'elle concerne la suppression d'un local non autorisé dans les surcombles, la décision entreprise du 7 juillet 2005 est entrée en force dès lors que le constructeur a déclaré se soumettre à l'ordre de remise en état. L'objet du litige est donc circonscrit au refus de la municipalité du 25 avril 2005 d'autoriser la pose de huit velux supplémentaires, respectivement à l'ordre de mise en conformité de la toiture du 7 juillet 2005 fondé sur ce refus. 2.                a) La réglementation concernant les ouvertures en toiture a essentiellement pour objet de protéger l'aspect des toitures, en veillant à ce que celles-ci ne soient pas dénaturées par des ouvertures trop importantes qui auraient pour seul but d'augmenter les surfaces habitables dans l'espace des combles (Tribunal administratif, arrêts AC 2002/0111 du 10 juillet 2003, AC 2000/0178 du 25 avril 2001). A cet effet, l'art. 24 du règlement de la Commune de Pully sur l'aménagement du territoire et les constructions (RCATC) dispose ce qui suit: "Par leur forme et leur proportion, les lucarnes s'intègrent de manière harmonieuse à leur support et respectent l'expression architecturale des niveaux inférieurs. Leur largeur additionnée ne peut excéder, par rapport à la longueur de la façade correspondante 50 %, qu'il s'agisse de lucarnes inscrites dans le gabarit du toit (lucarnes négatives) ou en saillie sur celui-ci (lucarnes positives). Le choix de l'une de ces typologies exclut l'autre sur un même pan de toit. Les lucarnes positives observent en outre les règles suivantes : •    leur parement se situe à l'aplomb ou en retrait de la façade; •    leur hauteur au nu du parement n'excède pas 1.70m. En complément aux lucarnes définies à l'alinéa 2 ci-dessus, les châssis pivotants, inscrits dans la pente du toit sont autorisés aux emplacements où ils sont objectivement nécessaires. Leurs dimensions ne peuvent excéder 0.80 m x 1.20 m." b) En l'espèce, l'autorité intimée fonde principalement son refus sur l'alinéa 2 de cette disposition, soutenant que la longueur additionnée des ouvertures sur le pan sud de la toiture excède la moitié de la longueur de la façade; elle observe par ailleurs que les velux supplémentaires prévus dans la partie supérieure du toit ne sont pas objectivement nécessaires au sens de l'alinéa 4 de cette même disposition. En tant qu'elle assimile les huit velux litigieux aux lucarnes mentionnées à l'art. 24 al. 2 RCATC, cette motivation ne peut être reçue. En effet, compte tenu de la distinction technique opérée entre la lucarne (soit un élément saillant de la toiture dans lequel prend place une fenêtre verticale) et le châssis en toiture (soit une fenêtre située dans le pan du toit, également désignée par les mots de tabatière, châssis rampant, châssis pivotant ou velux), la jurisprudence retient de manière constante que lorsqu'une réglementation traite de manière distincte de ces deux types d'ouvertures, l'une ne peut être assimilée à l'autre (Tribunal administratif, arrêt AC 2000/0119 du 10 octobre 2001; RDAF 1990 p. 424, et les références citées). Ainsi, limitant la largeur additionnée des lucarnes, l'art. 24 al. 2 n'est réputé viser que les lucarnes stricto sensu, à l'exclusion des châssis rampants ou velux, lesquels ne peuvent être autorisés, à la lettre de l'art. 24 al. 4 RCATC, qu'aux emplacements où ils sont objectivement nécessaires. Partant, pour éprouver le bien-fondé de la décision entreprise, il revient au tribunal d'examiner si l'adjonction des huit velux litigieux s'avérait objectivement nécessaire. 3.                a) Non défini par la réglementation communale, le caractère objectivement nécessaire d'une ouverture en toiture implique en tout cas que l'éclairage naturel nécessaire à l'habitation soit assuré, exigence qui se confond avec celle de la surface vitrée minimale nécessaire à l'habitat telle que prévue à l'art. 28 du règlement d'application de la loi sur l'aménagement du territoire et les constructions (RATC). Selon cette disposition, tout local servant à l'habitation ou au travail sédentaire doit être éclairé par une surface vitrée qui n'est pas inférieure au 1/8 de la superficie du plancher du local et de 1 m2 au minimum, proportion qui peut être réduite, s'agissant des lucarnes et des tabatières, à 1/15 de la surface du plancher et à 0,80 m2 au minimum. Ainsi dispose-t-on d'un critère objectif, dont l'application paraît d'autant plus adéquate que l'art. 28 in fine RATC laisse une marge d'appréciation à l'autorité, qui peut tenir compte des particularités de la construction, soit du fait que la configuration des locaux ou certaines contraintes particulières appellent des dérogations au strict calcul d'un minimum de surface vitrée (Tribunal administratif, arrêt AC 2002/0111 du 10 juillet 2003). b) Cela étant, s'agissant des combles situées sous le pan sud de la toiture de l'immeuble litigieux, même si l'on fait abstraction de la source de lumière à laquelle le constructeur a décidé de renoncer en supprimant les fenêtres initialement prévues sur les pignons est et ouest, la pose d'un seul velux de part et d'autre de la lucarne (balcon loggia) suffit à l'éclairage du séjour au regard du critère de la surface vitrée minimale de l'art. 28 RATC. En effet, d'une surface de plancher de l'ordre de 54 m2, le séjour, qui doit dès lors disposer de 3,6 m2 de surface vitrée au minimum, compte 12,92 m2 de vitrage (1,84 m2 pour les deux velux et 11,08 m2 pour la baie vitrée). Cela étant, la municipalité a correctement tenu compte de la configuration particulière du lieu en autorisant une ouverture à l'est et à l'ouest de la lucarne, soit aux deux coins sombres de la pièce, de sorte que l'autorité municipale n'a pas abusé de son pouvoir d'appréciation en refusant l'adjonction d'un velux supplémentaire de chaque côté. c) S'agissant des ouvertures dans les surcombles, compte tenu des ouvertures pratiquées dans les pignons est et ouest, dont la surface vitrée est de 3,78 m2 au total, la surface vitrée des trois velux initialement autorisés, soit 2.76 m2, satisfait au critère de la surface minimum de l'art. 28 RATC, qui est en l'occurrence de 2,26 m2 (soit 1/15 de la surface de plancher de 34 m2). Reste à déterminer l'emplacement de ces trois velux. La particularité de la construction appelant une source de lumière supplémentaire aux extrémités est et ouest du pan sud de la toiture, c'est à raison que la municipalité y a autorisé la pose d'un seul velux, respectivement refusé d'en augmenter la surface vitrée par l'adjonction d'un second. S'agissant de la partie centrale des surcombles, soit la surface qui se situe autour de l'escalier en colimaçon qui y donne accès, l'ouverture en toiture initialement autorisée au-dessus de cet escalier suffisait pour compléter l'éclairage par le bas qu'y dispense déjà le balcon du séjour, de sorte que le refus de l'autorité intimée d'y autoriser les quatre velux installés par le constructeur échappe à la critique. Quant au choix de l'emplacement de cette ouverture, le tribunal n'a pas à se substituer aux parties et renvoie dès lors le recourant à soumettre à l'approbation de la municipalité son choix de conserver l'une des quatre ouvertures déjà pratiquées ou de faire procéder à la pose d'un velux à l'endroit initialement autorisé. d) De ce qui précède, il résulte que le refus de la municipalité du 25 avril 2005 de délivrer l'autorisation d'installer huit velux supplémentaires est fondé, de sorte que le recours doit être rejeté sur ce point. 4.                Subsiste la question du bien-fondé de l'ordre de remise en état de la toiture du 7 juillet 2005, décision que le recourant tient pour disproportionnée. a) L'art. 105 LATC autorise la municipalité à faire suspendre et, le cas échéant, supprimer ou modifier, aux frais du propriétaire, tous les travaux qui ne sont pas conformes aux prescriptions légales et réglementaires.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RDAF 1993 p. 310 consid. 2b et les arrêts cités; Tribunal administratif, arrêt AC 2000/0113 du 27 janvier 2004). b) En l'occurrence, les dérogations à la règle qu'induiraient les seize velux de la construction actuelle ne sauraient à l'évidence pas être qualifiées de mineures, le constructeur ayant pratiquement doublé le nombre des ouvertures initialement autorisées. Il est également patent que, pour avoir fait procéder aux travaux litigieux au mépris du préavis négatif que la municipalité lui avait adressé le 7 décembre 2004, le recourant ne pouvait de bonne foi se croire autorisé à construire. S'agissant de l'intérêt public au rétablissement, on ne voit pas qu'il puisse être fait bon marché de l'esthétique des toitures, ni que la réglementation visant à ne pas en dénaturer l'aspect par des ouvertures trop importantes soit mise à mal par une politique du fait accompli délibérément adoptée par le constructeur. Enfin, il existe certainement un intérêt à dissuader le recourant ou des tiers de violer la réglementation communale à une autre occasion. En effet, il n'est pas indifférent qu'un ordre de rétablissement puisse avoir un effet didactique ou dissuasif, tout comme cela est admis lorsqu'il s'agit de sanctionner la violation du droit d'être entendu. (Tribunal administratif, arrêt AC 2004/0212 du 25 février 2005; Seiler, Abschied von der formellen Natur des rechtlichen Gehörs in SJZ 2004 p. 277 ss). Dans ces conditions, l'intérêt du recourant doit céder le pas, de sorte que la décision entreprise doit être confirmée. L'ordre de remise en état étant échu, un nouveau délai sera fixé au recourant pour s'exécuter. 5.                Débouté de l'ensemble de ses conclusions, le recourant supportera les frais de la cause et versera à la commune de Pully - qui obtient gain de cause avec le concours d'un mandataire professionnel - une indemnité à titre de dépens (art. 55 LJPA), dont il convient de fixer le montant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