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AC.2005.0068 vom 25. April 2006</w:t>
      </w:r>
    </w:p>
    <w:p>
      <w:r>
        <w:t>VD Tribunal cantonal, 2006-04-25, FR</w:t>
      </w:r>
    </w:p>
    <w:p>
      <w:r>
        <w:rPr>
          <w:b/>
        </w:rPr>
        <w:t xml:space="preserve">Quelle: </w:t>
      </w:r>
      <w:r>
        <w:t>https://mcp.opencaselaw.ch/entscheid/vd_omni_AC.2005.0068</w:t>
      </w:r>
    </w:p>
    <w:p>
      <w:r>
        <w:t>FR: VD_OMNI AC.2005.0068 du 25 avril 2006</w:t>
      </w:r>
    </w:p>
    <w:p>
      <w:r>
        <w:t>IT: VD_OMNI AC.2005.0068 del 25 aprile 2006</w:t>
      </w:r>
    </w:p>
    <w:p>
      <w:pPr>
        <w:pStyle w:val="Heading2"/>
      </w:pPr>
      <w:r>
        <w:t>Regeste</w:t>
      </w:r>
    </w:p>
    <w:p>
      <w:r>
        <w:t>BOTET, SPIRIG/Municipalité de Vevey, Police cantonale du commerce, Service de l'environnement et de l'énergie | Il ne ressort d'aucune disposition légale ou réglementaire que la législateur vaudois aurait formellement et expressément interdit de soumettre un établissement public, respectivement une partie de celui-ci, à deux licences distinctes dès l'instant où les exploitants demeurent les mêmes. Ne pouvant se fonder sur une base légale claire et précise, la décision attaquée viole la liberté économique des recourants.</w:t>
      </w:r>
    </w:p>
    <w:p>
      <w:pPr>
        <w:pStyle w:val="Heading2"/>
      </w:pPr>
      <w:r>
        <w:t>Erwägungen</w:t>
      </w:r>
    </w:p>
    <w:p>
      <w:r>
        <w:rPr>
          <w:b/>
        </w:rPr>
        <w:t>E. 1</w:t>
      </w:r>
    </w:p>
    <w:p>
      <w:r>
        <w:t>Déposé dans le délai légal de l'art. 35 al. 1 LJPA par les destinataires de la décision entreprise, le recours est manifestement recevable.</w:t>
      </w:r>
    </w:p>
    <w:p>
      <w:r>
        <w:rPr>
          <w:b/>
        </w:rPr>
        <w:t>E. 2</w:t>
      </w:r>
    </w:p>
    <w:p>
      <w:r>
        <w:t>Toute restriction d'un droit fondamental doit être justifié par un intérêt public ou la protection d'un droit fondamental d'autrui.</w:t>
      </w:r>
    </w:p>
    <w:p>
      <w:r>
        <w:rPr>
          <w:b/>
        </w:rPr>
        <w:t>E. 3</w:t>
      </w:r>
    </w:p>
    <w:p>
      <w:r>
        <w:t>Toute restriction d'un droit fondamental doit être proportionné au but visé.</w:t>
      </w:r>
    </w:p>
    <w:p>
      <w:r>
        <w:rPr>
          <w:b/>
        </w:rPr>
        <w:t>E. 4</w:t>
      </w:r>
    </w:p>
    <w:p>
      <w:r>
        <w:t>En l'espèce, l'exploitation de la terrasse litigieuse est soumise à autorisation spéciale au sens de l'art. 120 litt. c LATC du Département de l'économie (ci-après: le département); c'est donc cette autorité qui, sur la base d'un préavis notamment du SEVEN, est compétente pour se prononcer sur la question de la protection de l'environnement. Les recourants font valoir que c'est exclusivement en vertu de l'art. 2 al. 3 du Règlement, selon lequel « s ous réserve d'horaires plus restrictifs imposés par la Municipalité, ou de prolongations ponctuelles, les terrasses des établissements situées sur le domaine public et privé seront fermées au plus tard à 24 heures", que l'horaire d'exploitation de sa terrasse a été ramené de 1h00 du matin à minuit, du dimanche au jeudi, et de 2h00 du matin à minuit, les vendredis et samedis. Or, en tant que mesure de limitation des émissions au sens de l'art. 12 al. 1 litt. c LPE, ce règlement n'aurait, à leurs yeux, pas de portée propre et ce serait au seul département compétent qu'il incomberait de fixer l'horaire d'exploitation. Il convient donc de déterminer si le règlement conserve une portée propre pour fixer les horaires d'exploitation de la terrasse privée d'un établissement public ou si cette question est régie par le seul droit fédéral de la protection de l'environnement. En l'occurrence et contrairement à l'opinion des recourants, les règlements de police fixant les heures limites d'exploitation des établissements publics imposent une limitation préventive des émissions au sens de l'art. 11 al. 2 LPE et constituent donc bien à cet égard des règles d'exécution du droit fédéral. Ils définissent le cadre à l'intérieur duquel s'appliquent les règles, généralement plus strictes, de protection de l'environnement. Or, il ressort de la décision attaquée, respectivement des écritures du SEVEN du 8 juin 2005, que cette autorité, après avoir procédé à une évaluation globale des nuisances sonores basée sur la directive des établissements publics du 10 mars 1999 et sur l'art. 15 LPE, n'a pas restreint plus sévèrement les horaires d'exploitation de la terrasse litigieuse que ceux déjà fixés dans la réglementation communale. Dès lors et eu égard à la jurisprudence susmentionnée, l'argumentation des recourants selon laquelle la fixation de l'horaire de leur établissement relèverait de la seule compétence du département tombe à faux et doit être écartée.</w:t>
      </w:r>
    </w:p>
    <w:p>
      <w:r>
        <w:rPr>
          <w:b/>
        </w:rPr>
        <w:t>E. 5</w:t>
      </w:r>
    </w:p>
    <w:p>
      <w:r>
        <w:t>Les recourants s'en prennent encore à la constitutionnalité de l'art. 2 al. 3 du Règlement en invoquant les art. 26 (garantie de la propriété) et 27 Cst (liberté économique). Ils se prévalent enfin d'une situation de droits acquis dans la mesure où leur terrasse a bénéficié de 1999 à 2004 d'horaires d'exploitation plus larges que ceux prévus par la nouvelle réglementation. Dans la mesure où la décision attaquée n'a pas directement pour objet la question de la soumission de l'établissement public des recourants, respectivement de leur terrasse, au Règlement - ce dernier s'appliquant de fait à tous les établissements publics de la commune de Vevey depuis son entrée en vigueur sans que la municipalité n'ait dû prendre pour chacun d'entre eux une décision individuelle et concrète - l'argumentation des recourants devrait être d'emblée écartée. A toutes fins utiles, le tribunal observe toutefois ce qui suit. a) Qu'il s'agisse de l'art. 26 Cst ou de l'art. 27 Cst, les restrictions à ces libertés fondamentales sont soumises aux conditions fixées à l'art. 36 Cst. S'agissant plus particulièrement de l'art. 27 Cst, il a une portée comparable à celle de l’art. 31 de l’ancienne Constitution fédérale de 1874 (aCst) garantissant la liberté du commerce et de l’industrie. Le tribunal peut donc se référer à la jurisprudence rendue en application de l’art. 31 aCst. pour déterminer si les restrictions imposées à la recourante sont compatibles avec la garantie constitutionnelle précitée, dont le contenu a été exposé au considérant 2a ci-dessus. On le rappelle, les restrictions apportées à ce droit fondamental ont été jugées compatibles avec la Constitution lorsqu’elles reposent sur une base légale (formelle ou matérielle), sont justifiées par un intérêt public ou par la protection d'un droit fondamental d'autrui et sont proportionnées au but visé (ATF 113 Ia 138 consid. 8 et art. 36 al. 1 à 3 déjà cité ci-dessus). A la différence des autres droits fondamentaux, comme la garantie de la propriété (v. ATF 111 Ia 93 consid. 2b p. 98), n’importe quel intérêt public ne suffit pas à justifier une restriction à la garantie de la liberté économique. La jurisprudence a tout d’abord limité l’intérêt public aux mesures de police destinées à protéger la population dans les domaines de la santé publique, de l’ordre et de la tranquillité publique, ainsi que de la bonne foi et de la correction dans les affaires (par exemple ATF 116 Ia 118 consid. 3 p. 122 et les références citées), puis elle a étendu la notion d’intérêt public justifiant des restrictions à la liberté économique aux motifs de politique sociale (ATF 97 I 499 ss et les ATF 120 Ia 126 consid. 4a p.132, 119 Ia 59 consid. 6a, p. 67 ) et enfin aux mesures d’aménagement du territoire (ATF 102 Ia 115 ss et les ATF 110 Ia 173; 109 Ia 269). Sont exclues en revanche les mesures de politique économique destinées à favoriser certaines branches d’activité ou formes d’exploitation, ou encore à diriger l’économie selon un plan, qui ne seraient pas fondées sur une norme constitutionnelle spéciale (ATF 120 Ia 67 consid. 2a p. 70; 111 Ia 93 ss). b) Dans le cas présent, la restriction imposée aux recourants impliquant l'obligation de soumettre leur terrasse, sise sur le domaine privé, aux mêmes horaires d'exploitation que ceux imposés aux terrasses sises sur le domaine public, repose sur une base légale, soit sur les art. 2 du Règlement et 22 al. 1 LADB. Aux termes de cette dernière disposition, "Le règlement communal de police fixe l'horaire d'exploitation des établissements. Il peut opérer une distinction entre les différents types d'établissements et les différentes zones ou quartiers de la commune. Il peut aussi fixer des conditions particulières visant à protéger les riverains des nuisances excessives." Les recourants ne contestent ni l'existence d'une base légale ni celle d'un intérêt public, constitué en l’occurrence par la sauvegarde de l'ordre et de la tranquillité publics définis à l'art. 1 litt. b LADB. En revanche, ils remettent en cause la proportionnalité de la mesure, l'exploitation de leur terrasse n'ayant jamais par le passé, et alors même qu'elle était au bénéfice d'horaires d'exploitation plus larges, fait l'objet de plaintes de la part du voisinage. En vertu du principe de la proportionnalité, l'autorité ne doit se servir que de moyens adaptés aux buts d'intérêt public visés; elle doit ménager le plus possible la liberté du citoyen et n'intervenir que dans la mesure où il existe un rapport raisonnable entre le résultat prévu et la mesure envisagée (voir notamment RDAF 1984 p. 39). C'est au regard de cette double exigence du rapport raisonnable entre le but de la mesure et les intérêts compromis (ATF 126 I 219, 117 Ia 446; ATF 113 Ia 134) et de l'adaptation d'une mesure à son but (Tauglichkeit, ATF 112 Ia 70 consid. 5c) que la restriction d'horaires litigieuse résultant du Règlement doit être appréciée. La terrasse du National est située en zone de sensibilité III et donne, côté Sud, sur la rue Louis Meyer. L’établissement ne comporte, dans ses étages supérieurs, que deux logements d'habitation, dont celui des recourants. S'il est donc vrai que les nuisances générées par l'exploitation de cette terrasse n'entraîne pas d'inconvénients majeurs pour les quelque voisins directs, il n'en demeure pas moins qu'un grand mur lisse construit côté Lausanne est de nature à réfléchir les bruits générés par la clientèle de la terrasse, ce qui pourrait expliquer les nuisances subies par les habitants de la rue du Torrent. Comme l'atteste la plainte déposée le 4 septembre 2003, ces derniers souffrent directement de ces nuisances sonores. Dès lors, et quand bien même l'ouverture de terrasses, sur domaine public ou privé, dans une ville touristique comme Vevey répond à un intérêt public visant à offrir un lieu de détente aux habitants et aux touristes, le tribunal estime, nonobstant le degré de sensibilité III applicable à la zone en question, qu'il y a lieu de protéger la phase de sommeil des habitants du quartier allant de minuit au petit matin. Les habitants, et plus particulièrement les voisins de l'établissement public en cause, sont en effet en droit d'exiger que tous les bruits cessent dès 24h00, y compris les opérations de rangement et de nettoyage de la terrasse, et ce, quel que soit le jour de la semaine. Comme on ne saurait agir directement sur la clientèle pour atteindre cet objectif, le seul moyen de lutter contre les nuisances sonores excessives engendrées par l'exploitation des terrasses consiste, comme l'a fait la municipalité, à réglementer leurs horaires d'ouverture. La nécessité des dispositions critiquées qui s'appliquent tant aux terrasses sises sur le domaine public qu'à celles sises le domaine privé est pleinement justifiée dans la mesure où elles génèrent toutes deux le même type de nuisances. Il en résulte que seule une mesure frappant de la même manière les deux catégories de terrasses peut s'avérer efficace contre l'excès de bruit nocturne. Le moyen tiré de la violation des art. 26 et 27 Cst s'avère donc totalement infondé. Enfin, les recourants ne peuvent se prévaloir d'une situation de droits acquis. Si jusqu'à l'entrée en vigueur du Règlement, ils ont certes bénéficié d'horaires d'exploitation plus large pour leur terrasse, cela ne signifie pas pour autant que leur situation ne pouvait plus jamais être modifiée en fonction de l'évolution de la réglementation communale. Les principes généraux du droit, dont celui de la légalité et de l'égalité de traitement, n'interdisent en effet pas au législateur de procéder à des modifications législatives et plus particulièrement à une autorité communale de modifier sa réglementation dans le respect des dispositions cantonales. Ces modifications impliquent par définition que les situations auxquelles elles s'appliquent soient traitées différemment avant et après leur entrée en vigueur.</w:t>
      </w:r>
    </w:p>
    <w:p>
      <w:r>
        <w:rPr>
          <w:b/>
        </w:rPr>
        <w:t>E. 6</w:t>
      </w:r>
    </w:p>
    <w:p>
      <w:r>
        <w:t>En définitive, le recours de José Botet et Markus Spirig doit être partiellement admis, soit uniquement en ce sens que la décision de la municipalité est confirmée alors que la décision du département du 3 mars 2005, en tant qu'elle refuse de soumettre la véranda des recourants simultanément à une licence de café-restaurant et à une licence de discothèque, est annulée. Conformément à l'art. 55 al. 1 LJPA, les frais et dépens sont en principe supportés par la ou les parties qui succombent (art. 55 al. 1 LJPA).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dépens (RDAF 1994 p. 323). La règle n'est toutefois pas absolue. Des frais de procédure entraînés exclusivement par une erreur administrative peuvent ainsi avoir pour conséquence d'obliger l'autorité à prendre en charge les frais et les dépens d'une partie qui succombe. Dans le cas présent, l'autorité cantonale est totalement déboutée. Quant aux recourants et la municipalité, ils obtiennent partiellement gain de cause. Un émolument partiel sera donc mis à la charge de José Botet et Markus Spirig. S’agissant des dépens, ils peuvent être compensés (art. 55 al. 1 et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