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AC.2005.0065 vom 6. Juli 2006</w:t>
      </w:r>
    </w:p>
    <w:p>
      <w:r>
        <w:t>VD Tribunal cantonal, 2006-07-06, FR</w:t>
      </w:r>
    </w:p>
    <w:p>
      <w:r>
        <w:rPr>
          <w:b/>
        </w:rPr>
        <w:t xml:space="preserve">Quelle: </w:t>
      </w:r>
      <w:r>
        <w:t>https://mcp.opencaselaw.ch/entscheid/vd_omni_AC.2005.0065</w:t>
      </w:r>
    </w:p>
    <w:p>
      <w:r>
        <w:t>FR: VD_OMNI AC.2005.0065 du 6 juillet 2006</w:t>
      </w:r>
    </w:p>
    <w:p>
      <w:r>
        <w:t>IT: VD_OMNI AC.2005.0065 del 6 luglio 2006</w:t>
      </w:r>
    </w:p>
    <w:p>
      <w:pPr>
        <w:pStyle w:val="Heading2"/>
      </w:pPr>
      <w:r>
        <w:t>Regeste</w:t>
      </w:r>
    </w:p>
    <w:p>
      <w:r>
        <w:t>ECHENARD, MAVILLA Sàrl, DENNYS, BALLARA, COIFFIER, FLEITH, FERCHICHI/Municipalité de La Tour-de-Peilz, Service Immeubles, Patrimoine et Logistique, Commission cantonale consultative d'urbanisme et d'architecture, BELLINO, BELLINO, BELLAY, NICOLAY, HELFER, PERRETTE, CAVIN, | La sécurité du droit n'est pas garantie lorsque le plan correspondant à une décision de classement n'est pas authentifié par une date d'adoption, une signature et un sceau, et surtout si le plan est démuni de toute référence explicite à la décision de classement. L'absence de signature du plan accompagnant une décision de classement ne constitue toutefois pas un vice de forme suffisant pour invalider ce plan s'il ressort clairement de la décision de classement que ce plan en consitue l'annexe. En l'occurrence, la correspondance entre les parcelles figurées sur le plan et celles énumérées dans la décision de classement suffit à lever tout équivoque sur la conformité du plan.</w:t>
      </w:r>
    </w:p>
    <w:p>
      <w:pPr>
        <w:pStyle w:val="Heading2"/>
      </w:pPr>
      <w:r>
        <w:t>Erwägungen</w:t>
      </w:r>
    </w:p>
    <w:p>
      <w:r>
        <w:rPr>
          <w:b/>
        </w:rPr>
        <w:t>E. 1</w:t>
      </w:r>
    </w:p>
    <w:p>
      <w:r>
        <w:t>La loi vaudoise sur la protection de la nature, des monuments et des sites du 10 décembre 1969 (LPNMS) a notamment pour but d'instaurer, d'une part, une protection de la nature et des sites englobant tous les territoires, paysages, sites, localités, immeubles qui méritent d'être sauvegardés en raison de l'intérêt général, notamment esthétique historique, scientifique ou éducatif qu'ils présentent (art. 4 LPNMS et ss), et, d'autre part, une protection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et ss). La loi traite ces objets de façon parallèle, prévoyant des mesures similaires de protection pour chacun d'eux. Dans le cadre de la protection spéciale des monuments historiques et des antiquités, la loi prévoit l'établissement d'un inventaire (art. 49 et ss LPNMS). Lorsque le Département des infrastructures estime qu'un objet est particulièrement digne d'intérêt et mérite une protection plus étendue, il peut procéder à son classement (art. 52 et ss LPNMS). Le classement s'effectue par voie de décision assortie au besoin d'un plan de classement (art. 52 LPNMS) et requiert une mise à l'enquête publique (art. 54 qui renvoie aux art. 24 et 26 LPNMS). La décision de classement définit a) l'objet classé, le cas échéant ses abords et l'intérêt qu'il représente; b) les mesures de protection déjà prises; c) les mesures de conservation ou de restauration nécessaires (art. 53 LPNMS). Une fois un objet classé, aucune atteinte ne peut lui être portée sans autorisation préalable du Département des infrastructures (art. 23 LPNMS). Le classement d'un immeuble est mentionné au registre foncier, à titre de restriction de droit public (art. 2 et 62 LPNMS).</w:t>
      </w:r>
    </w:p>
    <w:p>
      <w:r>
        <w:rPr>
          <w:b/>
        </w:rPr>
        <w:t>E. 2</w:t>
      </w:r>
    </w:p>
    <w:p>
      <w:r>
        <w:t>Le site de La Doges a fait l'objet d'une décision de classement par le département des infrastructures le 17 décembre 2003 à titre de monument historique au sens des art. 52 ss LPNMS. Les recourants contestent la validité de cette décision. Pour eux, elle serait nulle au moins en raison de deux vices de forme. Le premier de ces vices tiendrait au fait qu'aucune mention du classement n'a été portée au registre foncier sur les parcelles des recourants. Le second se rapporte à l'absence de signature du plan de classement.</w:t>
      </w:r>
    </w:p>
    <w:p>
      <w:r>
        <w:rPr>
          <w:b/>
        </w:rPr>
        <w:t>E. 3</w:t>
      </w:r>
    </w:p>
    <w:p>
      <w:r>
        <w:t>En vertu de l'art. 62 LPNMS, le classement d'un immeuble est mentionné au registre foncier conformément à l'art. 962 du code civil. Le premier alinéa de cet article a la teneur suivante : "Les cantons peuvent prescrire la mention au registre foncier de restrictions de la propriété fondées sur le droit public, telles que celles résultant d'un plan d'alignement et autres semblables". Le but d'une mention au registre foncier constitue à rendre public des rapports juridiques intéressant un immeuble, qui existent et se maintiennent indépendamment de cette écriture. La mention des rapports de droit public au registre foncier, qu'ils aient leur source dans le droit administratif cantonal ou fédéral, n'a qu'une portée informative. Les restrictions découlant de plans d'aménagement de toute nature sont effectives dès le moment où elles ont été régulièrement ordonnées et communiquées aux intéressés conformément aux règles de droit administratif, sans qu'elles doivent encore être mentionnées aux feuillets des fonds concernés pour être efficaces. Il n'en va pas autrement des restrictions résultant du classement de sites naturels (Deschenaux, Traité de droit privé suisse , volume V, tome II, p. 579-580). Conformément aux art. 24 et ss LPNMS (par renvoi de l'art. 54 LPNMS), la décision de classement du site de La Doges a fait l'objet d'une enquête publique et d'une publication dans la feuille des avis officiels mentionnant expressément les parcelles concernées par le classement. Parmi ces parcelles figurent les anciennes parcelles nos 1'146 et 2'653 objet du présent recours. La procédure de classement a été régulièrement suivie par le Département des infrastructures. Les restrictions découlant du classement sont donc valablement entrées en force le 17 février 2004, au jour de la publication de la décision dans la feuille des avis officiels. Elles sont en conséquence opposables aux propriétaires des parcelles concernées. A cet égard, l'absence de mention au registre foncier, qui n'a qu'une valeur informative et non constitutive, n'est pas déterminante. Elle n'a pas de conséquence sur la validité du classement et son étendue géographique.</w:t>
      </w:r>
    </w:p>
    <w:p>
      <w:r>
        <w:rPr>
          <w:b/>
        </w:rPr>
        <w:t>E. 4</w:t>
      </w:r>
    </w:p>
    <w:p>
      <w:r>
        <w:t>Il est exact, comme le font valoir les recourants, que le plan de classement n'est pas signé. Il est intitulé "Plan de situation" et, outre le nom d'un bureau de géomètre, on y trouve une légende sous le titre "plan d'extension (05.07.1972)": cette légende désigne les zones prévues par la planification communale ainsi que, à l'aide d'un liséré noir entourant une zone tramée de points bleus, un "périmètre de classement" incluant La Doges et les terrains qu'elle domine. Rien n'indique explicitement que ce plan constitue bien l'annexe de la décision de classement. L'art. 52 al. 1 LPNMS précise qu'il est procédé au classement par voie de décision assortie au besoin d'un plan de classement. L'art. 22 LPNMS (par renvoi de l'art. 54 LPNMS toujours) précise encore que le plan de classement délimite l'aire géographique d'application de la décision. D'une façon générale, on admet aujourd'hui que les décisions administratives doivent revêtir la forme écrite (Moor, Droit administratif , vol. II, Berne, 2002, p. 297). L'exigence d'une signature manuscrite (ou pour le moins d'un fac-similé) est en revanche controversée. Le Tribunal fédéral s'est prononcé à plusieurs reprises sur cette question. Dans un ATF 105 V 248, il a considéré que, sauf exigence de forme spécifique prévue expressément par la loi, on pouvait admettre l'absence de signature manuscrite pour les décisions à émettre en grand nombre utilisant des procédés de reproduction mécaniques (voir aussi dans le même sens: ATF 112 V 87). Il a jugé que la signature des décisions administratives ne répondait pas aux mêmes exigences qu'en droit privé. En matière privée, il s'agit de pouvoir déterminer si et dans quelle mesure une déclaration de volonté peut être imputée au signataire d'un document, de sorte qu'il est nécessaire que la signature couvre l'entier de ce document. En matière administrative, la question est différente: elle consiste à déterminer quelles déclarations d'un document font partie du dispositif (et comportent ainsi un caractère contraignant) et quel sens on doit attribuer à cette décision. Ces questions trouvent réponse dans l'interprétation des décisions. Selon le principe de la bonne foi, les décisions doivent être interprétées dans le sens où elles seraient communément comprises (ATF 108 V 232). Dans cet arrêt, le Tribunal fédéral s'est prononcé sur la validité d'une décision sur effet suspensif se trouvant au verso d'un document dont le recto prévoyait la suppression d'une rente invalidité. Seul le recto de ce document était signé. Il comportait une mention "voir au verso". Le Tribunal fédéral a jugé que la portée de cette mention ne faisait aucun doute: on comprenait facilement que l'on devait se rapporter également au dos de la feuille. Cela suffisait donc à rendre la décision sur effet suspensif contraignante. Le Tribunal fédéral a donc rejeté le grief d'annulabilité, voir de nullité de la décision sur effet suspensif faute de signature. La LPNMS ne prescrit pas de conditions de forme particulières pour les plans accompagnant les décisions de classement. Elle n'exige en particulier pas leur signature. La décision de classement du site de La Doges du 17 décembre 2003, signée par le chef du département des infrastructures, renvoie clairement à un plan de classement annexé. Sur la base de ce renvoi, dont la signification est explicite, il ne fait pas de doute que le plan de classement annexé est compris dans les documents de classement et que la décision du Chef du Département des infrastructures emporte approbation du plan définissant le périmètre de protection. Preuve en est d'ailleurs que c'est ainsi que l'avaient compris dans un premier temps tous les acteurs intervenus dans le cadre du présent recours. Ce n'est qu'une fois l'absence formelle de signature du plan soulignée que sa validité a été remise en cause par les recourants. Le grief de nullité du plan soulevé par les recourants est donc mal fondé et doit être rejeté, le plan de classement étant parfaitement valable. C'est cependant à tort que le SIPAL, Section monuments et sites, dans le courrier de son conseil du 6 mars 2006, croit pouvoir réfuter l'argumentation des recourants en exposant que dans sa pratique, il n'est pas d'usage de contresigner les annexes d'une décision de classement et qu'il ne s'agirait pas d'un oubli. Comme l'admet le conseil de la commune, la sécurité du droit n'est pas garantie lorsque le plan est un document distinct de la décision de classement et qu'il n'est pas authentifié par une date d'adoption, une signature et un sceau, et surtout lorsqu'il manque sur le plan, comme relevé ci-dessus, une référence explicite à la décision de classement. En l'espèce toutefois, ces vices formels peuvent être guéris par un examen de la liste des parcelles énumérées dans la décision de classement et publiée dans la Feuille des avis officiels du 17 février 2004: on parvient à y retrouver les numéros des parcelles 1'146 et 2'653 et rien ne permet de suspecter que ces numéros (par exemple à la suite un changement de numérotation) ne désigneraient pas les parcelles objet du présent recours.</w:t>
      </w:r>
    </w:p>
    <w:p>
      <w:r>
        <w:rPr>
          <w:b/>
        </w:rPr>
        <w:t>E. 5</w:t>
      </w:r>
    </w:p>
    <w:p>
      <w:r>
        <w:t>Les recourants soutiennent que le classement de La Doges a un effet strictement limité aux vues de et sur la Doges, à l'exclusion de toute autre protection. Selon eux, les nouvelles constructions ne porteraient pas atteinte à ces vues. Il convient tout d'abord de rappeler que le site de La Doges est couvert par la protection générale des monuments historiques découlant des art. 46 ss LPNMS. Concernant les divers bâtiments composant le domaine de La Doges, qui comprennent les habitations, le rural et la tour moyenâgeuse, ainsi que le vaste domaine agricole et viticole qui entoure ces bâtiments, cette protection - qui concorde avec les exigences de l'art. 86 LATC - a pour effet d'assurer la conservation générale de ces objets et non seulement la vue depuis et sur eux. De cette protection générale, il faut distinguer la protection spéciale mise en place par la décision de classement qui établit un périmètre de protection élargi. A l'intérieur de ce périmètre, les nouvelles constructions ou les transformations de constructions existantes doivent être conçues de manière à ne pas porter atteinte aux vues sur et depuis La Doges. Ces vues sont celles que peut avoir tout observateur, peu importe le lieu où il se trouve, à l'intérieur ou à l'extérieur du périmètre de protection. La décision de classement n'a pas pour effet de déterminer l'aire géographique, correspondant au périmètre protégé, dans lequel l'observateur doit se situer pour que sa vue soit protégée, mais de régir les constructions dans le périmètre de protection qui viendraient obstruer cette vue. Il en résulte que cette décision signifie notamment deux choses: que les droits de bâtir peuvent être restreints dans la mesure où cela est nécessaire à la protection des vues de et sur La Doges, mais que ces restrictions ne peuvent pas s'étendre au-delà du périmètre de protection défini par la décision de classement. La vue depuis la tour moyenâgeuse est protégée au même titre que la vue depuis les bâtiments principaux plus à l'est. Lors de l'inspection locale et sur la base des gabarits posés, le tribunal a pu constater que les villas projetées seraient clairement visibles depuis la tour. Les villas B et C particulièrement formeraient un plan plus rapproché dans le paysage et supprimeraient l'impression de dégagement qui existe actuellement depuis la tour, s'insérant en quelque sorte dans l'espace de respiration entourant celle-ci. Le tribunal constate néanmoins que ces villas viendront occulter la vue actuellement existante sur le creux du vallon et la colline en arrière-plan, mais ne porteront pas atteinte au panorama sur le lac et les montagnes. En outre, il existe déjà une villa plus à l'est et quelques constructions à l'ouest qui se situent au même niveau que les villas projetées, de sorte que ce plan n'est déjà plus entièrement dégagé et qu'il n'est plus question de le préserver de toute construction. Depuis la tour, seul les habitants des lieux jouissent de la vue. Pour toute ces raisons, il n'est pas certain que l'atteinte à la vue, certes réelle, constituée par le projet depuis le domaine de La Doges, soit incompatible avec la décision de classement. Depuis le chemin de Béranges et le chemin des Vignes notamment, on aperçoit distinctement la tour de La Doges et ses abords à travers diverses percées entre les maisons existantes. Selon le lieu où se tient l'observateur, on aperçoit sous la tour le pré planté de vergers ou uniquement le coteau et ses murs de vigne destinés à recevoir le projet litigieux. Dans tous les cas, la tour présente la particularité d'être comme posée sur un socle qui la supporte dans le paysage. Sur le vu des gabarits, on se rend aisément compte que les villas projetées, et spécialement les villas B et C, viendront occulter intégralement la tour à l'intérieur des percées actuelles, la soustrayant complètement à la vue des promeneurs et des habitants du vallon. Dans ces conditions, les projets de construction portent une atteinte substantielle à la vue sur le domaine de La Doges depuis le bas et paraissent difficilement compatibles avec la décision de classement dans la mesure où ces vues sont protégées. On peut cependant laisser ouverte la question de savoir si l'entier du projet peut être rejeté sur la seule base de la décision de classement de La Doges. Dans tous les cas, les motifs développés au considérant suivant doivent conduire au rejet du recours.</w:t>
      </w:r>
    </w:p>
    <w:p>
      <w:r>
        <w:rPr>
          <w:b/>
        </w:rPr>
        <w:t>E. 6</w:t>
      </w:r>
    </w:p>
    <w:p>
      <w:r>
        <w:t>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En l'occurrence, les parcelles concernées sont affectées à la zone de faible densité. Il n'est pas contesté que les projets litigieux soient conformes à la réglementation de cette zone. La municipalité a néanmoins refusé les permis de construire au motif que les projets étaient inadaptés au terrain en pente et ne s'intégraient pas harmonieusement avec le site. Les projets litigieux sont situés au pied du site de La Doges. Ce domaine, qui représente des valeurs architecturale et historique particulièrement remarquables, n'est pas seulement composé de bâtiments exceptionnels, mais également entouré de terrains en nature de vergers et de vigne, qui constituent un espace de respiration autour des bâtiments et un socle qui supporte les constructions. Le tout est d'une grande valeur paysagère. Le coteau litigieux, à forte pente soutenue par des murs de vignes, fait incontestablement partie de ce socle et constitue, avec le pré planté de quelques arbres fruitiers au pied de la tour, une bande de terre formant une colline repère dans le site. De plus, la forte déclivité du coteau l'expose tout particulièrement à la vue, accentuant de ce fait la force de sa présence dans le paysage. A ce titre, il se justifie d'examiner avec une prudence particulière l'aménagement et la construction des parcelles litigieuses afin de respecter paysage et patrimoine. Cette cautèle va dans le sens du plan directeur communal qui, à sa fiche sectoriel E1, érige en objectif le fait d'éviter toute atteinte aux sites à vocation paysagère tels que celui de La Doges. Les projets de villas sont élaborés sur le modèle de la villa vaudoise. Il s'agit de villas-type, conçues pour être implantées sur du terrain plat. A ce titre, leur construction va nécessiter de forts remblais et déblais afin d'aménager les plates-formes destinées à recevoir chaque villa. Plus de la moitié des murs de vignes existants vont disparaître au profit d'autres mesures de soutènement. De même, la construction des chemins d'accès impliquera de forts mouvements de terre au point de constituer finalement une véritable saignée dans le coteau. Comme le relève la Commission cantonale consultative d'urbanisme et d'architecture, les projets sont inadaptés à la topographie du terrain, qui sera bouleversée par les nouveaux aménagements au point de dénaturer la perception initiale du lieu. Le coteau sera entièrement remodelé, perdant de la sorte sa fonction de socle paysager entourant la tour, ce qui impliquera nécessairement une dépréciation du domaine de La Doges. A ce titre, aussi bien la typologie des villas, conçues sans réflexion d'intégration au site, que les mouvements de terre excessifs qu'entraînent les projets ne sont pas compatibles avec l'art. 86 LATC dans la mesure où ces aménagements compromettent le caractère du site à haute valeur historique et paysagère. Dès lors que tout le coteau est concerné par ces considérations, cette conclusion vaut pour tous les projets objet du présent recours. Dans ces circonstances, force est de constater que la municipalité n'a pas abusé de son pouvoir d'appréciation en considérant que les projets de construction étaient inadaptés au terrain en pente et ne s'intégraient pas harmonieusement dans le site particulièrement sensible de La Doges.</w:t>
      </w:r>
    </w:p>
    <w:p>
      <w:r>
        <w:rPr>
          <w:b/>
        </w:rPr>
        <w:t>E. 7</w:t>
      </w:r>
    </w:p>
    <w:p>
      <w:r>
        <w:t>A l'encontre du projet, les opposants invoquent divers griefs, parmi lesquels on trouve notamment la nature du terrain et ses risques de glissement, l'insuffisance des accès et leur défaut de sécurité et d'équipement, l'insuffisance des plans soumis à l'enquête et enfin la violation de diverses dispositions du règlement communal sur les places de jeux, les distances entre bâtiments et en limite de propriété, le coefficient d'occupation du sol et les murs de soutènement. Etant donné les motifs développés au considérant précédent, le tribunal considère qu'il n'est pas nécessaire d'examiner les griefs soulevés par les opposants, dès lors que le recours doit de toute façon être rejeté.</w:t>
      </w:r>
    </w:p>
    <w:p>
      <w:r>
        <w:rPr>
          <w:b/>
        </w:rPr>
        <w:t>E. 8</w:t>
      </w:r>
    </w:p>
    <w:p>
      <w:r>
        <w:t>En conséquence, le recours est rejeté. La décision de la municipalité refusant les permis de construire est maintenue. En vertu de l'art. 55 LJPA, les recourants, qui succombent, supportent les frais du recours. La municipalité et les opposants ont chacun consulté un mandataire. Ils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