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AC.2005.0019 vom 30. Juni 2005</w:t>
      </w:r>
    </w:p>
    <w:p>
      <w:r>
        <w:t>VD Tribunal cantonal, 2005-06-30, FR</w:t>
      </w:r>
    </w:p>
    <w:p>
      <w:r>
        <w:rPr>
          <w:b/>
        </w:rPr>
        <w:t xml:space="preserve">Quelle: </w:t>
      </w:r>
      <w:r>
        <w:t>https://mcp.opencaselaw.ch/entscheid/vd_omni_AC.2005.0019</w:t>
      </w:r>
    </w:p>
    <w:p>
      <w:r>
        <w:t>FR: VD_OMNI AC.2005.0019 du 30 juin 2005</w:t>
      </w:r>
    </w:p>
    <w:p>
      <w:r>
        <w:t>IT: VD_OMNI AC.2005.0019 del 30 giugno 2005</w:t>
      </w:r>
    </w:p>
    <w:p>
      <w:pPr>
        <w:pStyle w:val="Heading2"/>
      </w:pPr>
      <w:r>
        <w:t>Regeste</w:t>
      </w:r>
    </w:p>
    <w:p>
      <w:r>
        <w:t>KOLLY/Municipalité d'Yverdon-les-Bains, Service de l'environnement et de l'énergie, Office fédéral de l'environnement, des forêts et du paysage | Refus du permis de construire pour l'installation d'un bar à champagne au rez-de-chaussée d'un immeuble, dans lequel cinq appartements situés dans les étages ont été annoncés comme "salons" au sens de la loi sur l'exercice de la prostitution. Restriction à la liberté économique admise en l'espèce. La mesure est fondée sur une base légale formelle et elle répond à un intérêt public visant à éviter l'exercice de la prostitution dans un lieu ouvert et accessible au public situé dans un secteur où l'habitation est prépondérante.</w:t>
      </w:r>
    </w:p>
    <w:p>
      <w:pPr>
        <w:pStyle w:val="Heading2"/>
      </w:pPr>
      <w:r>
        <w:t>Erwägungen</w:t>
      </w:r>
    </w:p>
    <w:p>
      <w:r>
        <w:rPr>
          <w:b/>
        </w:rPr>
        <w:t>E. 22</w:t>
      </w:r>
    </w:p>
    <w:p>
      <w:r>
        <w:t>avril 2004 et GE 1998/0035 du 7 juillet 2004). En l’espèce, l’art. 14 LPros permet à la municipalité d’édicter des restrictions à l’exercice de la prostitution de salon. Cette disposition permet à la municipalité d’intervenir dans ses attributions de police des constructions notamment en refusant un permis de construire pour l’aménagement de salons. Elle constitue donc une base légale suffisante, adoptée par le législateur cantonal, permettant de refuser l’autorisation d’aménager un bar à champagne, de tels établissements publics étant assimilés aux « salons » soumis aux mêmes règles (art. 8 al. 3 LPros ; BGC septembre 2003 p. 2832). c)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puis elle a étendu la notion d’intérêt public justifiant des restrictions à la liberté économique aux motifs de politique sociale (ATF 97 I 499 ss et les ATF 120 Ia 126 consid. 4a p. 132 ; ATF 119 Ia 59 consid. 6a p. 67) et enfin aux mesures d’aménagement du territoire (ATF 102 Ia 115 ss et les ATF 110 Ia 173 ; ATF 109 Ia 269) ; sont en revanche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La jurisprudence fédérale a reconnu l’existence d’un intérêt public aux mesures visant à limiter ou à interdire la prostitution dans des quartiers où les habitations prédominent, ainsi qu’à proximité des écoles, des églises ou des parcs accessibles aux enfants (cf. ATF 101 Ia 473 consid. 6b p. 483). En l’espèce, le bar est situé au rez-de-chaussée de l’immeuble du recourant, soit en front de rue, dans un secteur destiné principalement à l’habitation, à proximité d’une place de jeux pour enfants. L’aménagement et l’exploitation du bar auraient pour effet que la prostitution exercée dans les étages du bâtiment devienne visible et accessible au public et par là même exposée à la vue des passants et des enfants. L’intérêt public recherché par la mesure permet d’éviter que les comportements liés à une activité sexuelle commerciale soient soumis à la vue des enfants qui bénéficient d’une place de jeux à proximité. Par ailleurs, les art. 10 et 11 RPGA tendent à maintenir le caractère multifonctionnel de la zone de la ville ancienne par une répartition de différentes fonctions dans les niveaux des immeubles (activités ou services sur les fronts de rue ; logement au dernier niveau sous la corniche ; habitat sous les combles ; autorisation d’autres fonctions si l’habitation est compensée à un autre niveau). L’exploitation d’un salon en front de rue aurait pour effet de vouer la quasi-totalité de l’immeuble à l’exercice de la prostitution (sous réserve du logement du propriétaire) et ne respecterait pas l’exigence de la réglementation communale. d) L’importance majeure de l’intérêt public en cause ne suffit toutefois pas encore à justifier le refus d’accorder un permis de construire. Conformément au principe de la proportionnalité, les mesures prises doivent non seulement être justifiées par un intérêt public prépondérant, mais encore se limiter à ce qui est nécessaire pour la protection de celui-ci (ATF 117 Ia 318 consid. 4b et les références citées). Lorsque plusieurs mesures permettent d’atteindre l’objectif recherché, l’autorité doit alors appliquer celle qui lèse le moins les intéressés (art. 4 LATC). En l’espèce, la décision communale n’a pas pour effet d’interdire l’exercice de la prostitution aux étages fermés du bâtiment du recourant, mais seulement son extension au rez-de-chaussée par l’intermédiaire d’un bar à champagne accessible au public. Or, il n’existe pas d’autres mesures moins dommageables que le refus de l’autorisation de construire pour atteindre le but d’intérêt public recherché. La décision attaquée est ainsi conforme au principe de la proportionnalité. 3.                  Il résulte des considérants qui précèdent que le recours doit être rejeté et la décision attaquée maintenue. Compte tenu de l’issue du recours, un émolument de justice fixé à 1'500 (mille cinq cents) francs est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