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AC.2004.0181 vom 26. Mai 2005</w:t>
      </w:r>
    </w:p>
    <w:p>
      <w:r>
        <w:t>VD Tribunal cantonal, 2005-05-26, FR</w:t>
      </w:r>
    </w:p>
    <w:p>
      <w:r>
        <w:rPr>
          <w:b/>
        </w:rPr>
        <w:t xml:space="preserve">Quelle: </w:t>
      </w:r>
      <w:r>
        <w:t>https://mcp.opencaselaw.ch/entscheid/vd_omni_AC.2004.0181</w:t>
      </w:r>
    </w:p>
    <w:p>
      <w:r>
        <w:t>FR: VD_OMNI AC.2004.0181 du 26 mai 2005</w:t>
      </w:r>
    </w:p>
    <w:p>
      <w:r>
        <w:t>IT: VD_OMNI AC.2004.0181 del 26 maggio 2005</w:t>
      </w:r>
    </w:p>
    <w:p>
      <w:pPr>
        <w:pStyle w:val="Heading2"/>
      </w:pPr>
      <w:r>
        <w:t>Regeste</w:t>
      </w:r>
    </w:p>
    <w:p>
      <w:r>
        <w:t>CERVELLIN, /Conseil communal de Penthalaz, Département de la sécurité et de l'environnement, Département des infrastructures, Municipalité de Penthalaz, Service de l'aménagement du territoire, CUENDET, MATTERN, EPARS | Il n'y a pas lieu d'allouer des dépens lorsque les parties y ont renoncé mais les parties n'ont pas le pouvoir de convenir du sort des frais de justice</w:t>
      </w:r>
    </w:p>
    <w:p>
      <w:pPr>
        <w:pStyle w:val="Heading2"/>
      </w:pPr>
      <w:r>
        <w:t>Volltext</w:t>
      </w:r>
    </w:p>
    <w:p>
      <w:r>
        <w:t>Vaud Tribunal cantonal Cour de droit administratif et public 26.05.2005 AC.2004.0181</w:t>
      </w:r>
    </w:p>
    <w:p>
      <w:r>
        <w:t>CERVELLIN, /Conseil communal de Penthalaz, Département de la sécurité et de l'environnement, Département des infrastructures, Municipalité de Penthalaz, Service de l'aménagement du territoire, CUENDET, MATTERN, EPARS | Il n'y a pas lieu d'allouer des dépens lorsque les parties y ont renoncé mais les parties n'ont pas le pouvoir de convenir du sort des frais de justice</w:t>
      </w:r>
    </w:p>
    <w:p>
      <w:r>
        <w:t>Canton de Vaud TRIBUNAL ADMINISTRATIF Av. Eugène-Rambert 15 1014 Lausanne Chambre de l'aménagement et des constructions Tél : 021/316 12 52 Communication adressée aux destinataires mentionnés au verso ou en annexe Exemplaire pour COPIE DOSSIER Lausanne, le 26 mai 2005/mad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