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AC.2004.0096 vom 7. Februar 2006</w:t>
      </w:r>
    </w:p>
    <w:p>
      <w:r>
        <w:t>VD Tribunal cantonal, 2006-02-07, FR</w:t>
      </w:r>
    </w:p>
    <w:p>
      <w:r>
        <w:rPr>
          <w:b/>
        </w:rPr>
        <w:t xml:space="preserve">Quelle: </w:t>
      </w:r>
      <w:r>
        <w:t>https://mcp.opencaselaw.ch/entscheid/vd_omni_AC.2004.0096</w:t>
      </w:r>
    </w:p>
    <w:p>
      <w:r>
        <w:t>FR: VD_OMNI AC.2004.0096 du 7 février 2006</w:t>
      </w:r>
    </w:p>
    <w:p>
      <w:r>
        <w:t>IT: VD_OMNI AC.2004.0096 del 7 febbraio 2006</w:t>
      </w:r>
    </w:p>
    <w:p>
      <w:pPr>
        <w:pStyle w:val="Heading2"/>
      </w:pPr>
      <w:r>
        <w:t>Regeste</w:t>
      </w:r>
    </w:p>
    <w:p>
      <w:r>
        <w:t>BAUMGARTNER Hans-Peter et Françoise/Municipalité de Buchillon, Service de l'aménagement du territoire, Service de l'environnement et de l'énergie, Service des eaux, sols et assainissement, Service des forêts, de la faune et de la nature | Doivent être considérés comme imposés par leur destination au sens de l'art. 24 litt. a LAT un édicule (terme qui regroupe un couvert à cabane, un local fermé comportant des WC et un bûcher) et un couvert à barbecue sis en zone forestière. Le refuge forestier, qui existait préalablement et n'est pas litigieux, est destiné à assurer l'accueil du public, à offrir un abri aux travailleurs forestiers et à leur permettre d'entreposer leur matériel durant la mauvaise saison. L'amélioration des commodités effectuée sans droit a par ailleurs un impact positif sur la forêt dans la mesure où elle permet de réduire les atteintes au milieu naturel. S'agissant de la zone intitulée sur le plan d'enquête "terrain de pétanque", autorisée depuis 1985, elle doit être considérée comme un aménagement extérieur du refuge. Rejet du recours.</w:t>
      </w:r>
    </w:p>
    <w:p>
      <w:pPr>
        <w:pStyle w:val="Heading2"/>
      </w:pPr>
      <w:r>
        <w:t>Erwägungen</w:t>
      </w:r>
    </w:p>
    <w:p>
      <w:r>
        <w:rPr>
          <w:b/>
        </w:rPr>
        <w:t>E. 1</w:t>
      </w:r>
    </w:p>
    <w:p>
      <w:r>
        <w:t>Le Tribunal administratif examine d'office et avec un libre pouvoir d'examen la recevabilité des recours qui lui sont soumis (arrêts TA AC 1994/0062 du 9 janvier 1996, AC 1993/0092 du 28 octobre 1993 et AC 1992/0345 du 30 septembre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 98/005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En l'espèce, la qualité pour recourir des époux Baumgartner ne fait aucun doute, dans la mesure où ces derniers sont propriétaires de la parcelle no 216 qui jouxte la parcelle no 219.</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l'aménagement du territoire du 22 juin 1979 (ci-après : LAT) et la loi vaudoise sur l'aménagement du territoire et les constructions du 4 décembre 1985 (ci-après : LATC)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3</w:t>
      </w:r>
    </w:p>
    <w:p>
      <w:r>
        <w:t>En l'espèce, le recours porte, d'une part, sur la régularisation d'installations construites sans autorisation dans une zone forestière, à savoir un édicule et un couvert à barbecue et, d'autre part, sur la régularisation d'un terrain de pétanque d'environ 150 m2 autorisé dans cette zone depuis 1985. Sur ce point, on ne saurait suivre le raisonnement des recourants selon lequel il ne pourrait pas y avoir de mise en conformité des installations litigieuses, dans la mesure où la totalité des travaux réalisés seraient illégaux et devraient être frappés d'une décision de démolition. Comme le relève à juste titre le SAT dans ses déterminations du 15 juin 2004, à teneur de l'art. 105 LATC, la municipalité, à son défaut le Département des infrastructures, est en droit de faire suspendre et, le cas échéant supprimer ou modifier, aux frais du propriétaire, tous travaux qui ne sont pas conformes aux prescriptions légales ou réglementaires. Selon la jurisprudence, la seule violation des dispositions de forme relatives à la procédure d'autorisation de construire n'est toutefois en principe pas suffisante pour justifier l'ordre de démolition d'un ouvrage non autorisé dès l'instant où ledit ouvrage est conforme aux prescriptions matérielles applicables (RDAF 1979 p. 231). Aussi fallait-il dans le cas présent - et cela a été fait - mettre en oeuvre une procédure de régularisation des installations litigieuses pour déterminer si elles étaient ou non conformes aux prescriptions matérielles applicables en la matière, avant d'examiner si, le cas échéant, un éventuel ordre de démolition pouvait être prononcé. En l'occurrence, les autorités intimées sont parvenues à la conclusion que les constructions en cause pouvaient être autorisées en application notamment de l'art. 24 LAT et il convient d’examiner si c’est à juste titre.</w:t>
      </w:r>
    </w:p>
    <w:p>
      <w:r>
        <w:rPr>
          <w:b/>
        </w:rPr>
        <w:t>E. 4</w:t>
      </w:r>
    </w:p>
    <w:p>
      <w:r>
        <w:t>Selon l'art. 3 de la loi fédérale sur les forêts (ci-après : LFo), l'aire forestière de la Suisse ne doit pas être diminuée. Tout changement durable ou temporaire de l'affectation du sol forestier est considéré comme un défrichement et doit, à ce titre, être soumis à une autorisation préalable des autorités compétentes (art. 4 et 5 LFo). L'art. 4 litt. a de l'Ordonnance fédérale sur les forêts du 30 novembre 1992 (ci-après : OFo) permet cependant d'affecter le sol forestier à des constructions et installations forestières ainsi qu'à des petites constructions et installations non forestières sans qu'une autorisation de défricher ne soit nécessaire. Dans cette hypothèse, une autorisation de construire doit être sollicitée en vertu de l'art. 22 LAT, pour les constructions forestières (art. 14 al. 1 OFo), respectivement en vertu de l'art. 24 LAT, pour celles qui ne sont pas conformes à la zone (cf. art. 14 al. 2 OFo qui précise que l'autorisation ne sera délivrée qu'avec l'accord de l'autorité forestière cantonale compétente, soit dans le canton de Vaud, le Service des forêts, de la faune et de la nature - art. 65 de la loi forestière vaudoise du 19 juin 1996, ci-après : la loi forestière). S'agissant de la réglementation communale, en particulier de l'art. 42 RPGA relatif, elle n'a pas de portée propre par rapport au droit fédéral qui régit de manière exhaustive les conditions auxquelles une construction non-conforme à la destination de la zone peut être autorisée (art. 24 LAT) (voir sur ces questions arrêt TA AC.2003.0103 du 7 janvier 2005).</w:t>
      </w:r>
    </w:p>
    <w:p>
      <w:r>
        <w:rPr>
          <w:b/>
        </w:rPr>
        <w:t>E. 5</w:t>
      </w:r>
    </w:p>
    <w:p>
      <w:r>
        <w:t>La disposition précitée, dans sa teneur selon la novelle du 20 mars 1998, en vigueur depuis le 1 er septembre 2000, dispose qu'en dérogation à l'art. 22 al. 2 litt. a LAT, des autorisations peuvent être délivrées pour de nouvelles constructions ou installations, ou pour tout changement d'affectation si l'implantation de ces constructions ou installations hors de la zone à bâtir est imposée par leur destination (litt. a) et si aucun intérêt prépondérant ne s'y oppose (litt. b). a) Pour répondre à la première condition de l’implantation imposée par la destination de l’ouvrage, il faut que des raisons objectives - techniques, économiques ou découlant de la configuration du sol – justifient la réalisation de l’ouvrage à l’emplacement prévu (voir ATF 123 II 256 consid. 5a p. 261-262). Le lien entre l’implantation et la destination peut être positif (dicté par l’exigence d’une implantation déterminée) ou négatif (imposé par l’impossibilité d’une implantation en zone à bâtir). Des motifs de convenance personnels ou financiers ne suffisent pas à justifier une implantation hors de la zone à bâtir (ATF 119 I b 442, consid. 4a p. 445). Mais le Tribunal fédéral ne pose pas d’exigence absolue pour la réalisation de cette condition. Il suffit que des motifs particulièrement importants fassent apparaître l’implantation comme objectivement conditionnée par la destination de l’ouvrage et sensiblement plus avantageuse que d’autres emplacements (ARF 115 Ib 472, consid. 2a p. 484). C’est ainsi que le Tribunal fédéral a admis par exemple la condition de l’implantation imposée par la destination de l’ouvrage pour la porcherie d’une société de fromagerie qui ne disposait d’aucune place disponible dans la zone artisanale et industrielle des communes concernées. La condition de l’implantation imposée par la destination a été aussi admise pour la construction d’une antenne de télécommunications, pour une installation de tir ainsi que pour les logements d’une exploitation agricole vouée à des buts sociaux thérapeutiques de réinsertion (voir ATF Ib 94 et ss.). En revanche, cette condition a été niée pour la construction d’une route destinée à l’équipement d’une zone à bâtir (ATF 118 Ib 497, consid. 4a p. 500) ou pour la construction de cinq chambres supplémentaires d’un restaurant de montagnes comprenant déjà dix chambres doubles pour le personnel, alors que la zone d’habitation la plus proche se trouvait à un kilomètre environ (ATF 117 Ib 266, consid. 3 p. 269). La condition de l’implantation imposée par la destination a également été refusée pour la construction d’un passage souterrain destiné à relier une maison d’habitation sise hors des zones à bâtir à un garage et à une piscine située dans la zone à bâtir (ATF 114 Ib 317, consid. 4c p. 320). Dans ce dernier arrêt, le Tribunal fédéral a précisé que l’autorité devait se montrer stricte dans l’exigence de l’implantation imposée par la destination, afin d’éviter une dispersion des constructions dans le paysage. Le Tribunal fédéral a relevé aussi que la réglementation sur les constructions hors des zones à bâtir repose sur l’idée de base de l’aménagement du territoire visant à limiter l’étendue des terrains destinés à la construction et les séparer des terrains situés en dehors des zones à bâtir, afin que cette séparation soit effective. C’est ainsi que l’aménagement d’une cabane à outils en zone agricole pour une pratique de l’agriculture comme hobby a été refusé, la haute Cour ayant estimé qu'il n'était pas imposé par sa destination hors de la zone agricole à bâtir (ATF 112 Ib 259 et ss). Lorsque l'implantation retenue pour l'installation se trouve en forêt, alors qu'il ne s'agit pas d'une installation forestière, la condition de l'implantation imposée par la destination de l'ouvrage est proche de la condition de l'art. 5 al. 2 litt. a LFo, qui exige que l'ouvrage pour lequel le défrichement est sollicité ne puisse être réalisé qu'à l'endroit prévu (cf. Eric Brandt/Pierre Moor, Commentaire LAT, Zurich 1999, n.78 ad art. 18). b) Une fois la question de l'implantation imposée par la destination de l'ouvrage positivement résolue, il faut encore qu'aucun intérêt public prépondérant ne s'oppose à cette implantation. Par l'utilisation de cette notion juridique indéterminée, la LAT reconnaît une grande liberté d'appréciation à l'autorité de décision, à moins qu'une loi spéciale ne procède elle-même à cette pesée des intérêts (art. 24 litt. b LAT, Piermarco Zen-Ruffinen, Christine Guy-Ecabert, Aménagement du territoire, construction, expropriation, Berne 2001, spéc. p.271). c) Dans le cas présent, s'agissant en premier lieu de l'édicule - terme qui regroupe en fait le couvert à cabane (d'une surface d'environ 23 m2), le local fermé comportant des WC (d'une surface de 3,1 m2) et le bûcher (d'une surface de 1,8 m2) - force est d'admettre qu'il doit être considéré comme imposé par sa destination au sens de l'art. 24 litt. a LAT. Le refuge forestier déjà existant, qui n'est pas litigieux, est destiné à assurer l'accueil du public dans la forêt et partant, à garantir la fonction sociale de cette dernière (art. 1 litt.c LFo et 1 litt. c loi forestière). De même, il vise à offrir un abri aux travailleurs forestiers (bûcherons, gardes-forestiers, etc.) et à leur permettre d'entreposer leur matériel durant la mauvaise saison. Jusqu'à la réalisation des installations contestées, qui s'est faite selon les parties de manière progressive au cours des dernières années (le couvert du refuge remontant à 16 ans environ alors que le local des WC actuels est relativement récent), ce refuge disposait de commodités particulièrement rudimentaires. S'il paraît très vraisemblable que les travaux litigieux aient été effectués en raison de l'augmentation de la fréquentation du refuge par le public, il est en revanche nettement moins probable que, comme le soutiennent les recourants, cette fréquentation ait été le seul fait des amateurs de pétanque. Il ressort en effet du préambule du règlement de location/utilisation de la cabane forestière de Buchillon que cette dernière peut être louée par tous les habitants de la commune ainsi que par toutes les sociétés, groupements ou associations qui exercent leur activité sur le territoire communal. Quant au JABB, il n'organise des manifestations, toujours selon les pièces au dossier, que deux à trois week-ends par an, à côté de son entraînement hebdomadaire. Dès lors, si l'activité du JABB a certes pu avoir une influence non négligeable sur les améliorations contestées, il n'en demeure pas moins que tous les utilisateurs de la cabane bénéficient en définitive des améliorations effectuées. Nonobstant ce qui précède, l'amélioration des commodités, dont le futur raccordement de l'édicule au système d'évacuation des eaux, a un impact positif sur la forêt dans la mesure où elle permet de réduire les atteintes au milieu naturel. La condition d'implantation imposée par la destination doit donc être considérée comme remplie, tout comme l'exigence posée à l'art. 24 litt. b LAT, l'intérêt public visant à maintenir la zone forestière libre de toute construction devant, en l'espèce et compte tenu de la préexistence du refuge forestier, céder le pas devant l'intérêt public à protéger la forêt des atteintes du public. d) Le même raisonnement doit être suivi pour le couvert à barbecue (d'environ 16 m2 et d'une hauteur maximal de 3,36 m). Le tribunal ne peut à cet égard que se rallier à la position adoptée par le SFFN dans ses déterminations du 27 août 2005, selon laquelle le fait d'implanter à un endroit précis la place à feux est une pratique courante dans le cadre de l'aménagement des abords des refuges forestiers dans le canton de Vaud. Comme l'observe à juste titre l'intimée, l'art. 17 de la loi forestière interdit de faire du feu en forêt à moins de 10 mètres des lisières, besoins de l'exploitation forestière exceptés. La création d'une place couverte où sont concentrés les feux offre l'avantage d'empêcher la prolifération de foyers sauvages et protége ainsi à nouveau le milieu naturel des atteintes humaines. Le recours doit donc également être rejeté sur ce point.</w:t>
      </w:r>
    </w:p>
    <w:p>
      <w:r>
        <w:rPr>
          <w:b/>
        </w:rPr>
        <w:t>E. 6</w:t>
      </w:r>
    </w:p>
    <w:p>
      <w:r>
        <w:t>Il reste à examiner si la zone intitulée sur la plan d'enquête "terrain de pétanque" d'une surface de 150 m2 peut être maintenue comme telle. a) L'aménagement de cette surface pour la pétanque a expressément été autorisé, le 9 août 1985, par l'inspecteur des forêts du XVème arrondissement, puis le 8 novembre 1985, par le Service cantonale des forêts. L'inspection locale a permis de constater que cette surface n'était pas une construction indépendante, mais bel et bien un aménagement extérieur du refuge. Cet aménagement, que le tribunal de céans qualifie à nouveau comme conforme à la fonction d'accueil de la forêt, reste de dimensions modestes et ne porte pas atteinte à la conservation de l'aire forestière. Il n'avait en effet nécessité à l'époque aucun abattage d'arbres ni construction d'éléments en dur (murs, bordures, barrières ou clôtures). En n'autorisant qu'une surface de 150 m2 au lieu des 336 m2 gagnés progressivement sur la forêt et en ordonnant la démolition des éclairages et des bordures fixes le long des terrains, le SFFN rappelle les conditions posées en 1985 par le Service cantonal des forêts et interdit expressément toute extension future de cette surface. La mise œuvre de cette décision ainsi que la mise à disposition en faveur du JABB d'autres terrains communaux pour la pratique de son hobby démontrent que les recourants ne seront plus exposés à l’avenir à des désagréments tels que ceux invoqués dans leur recours. Leur argumentation sur ce point doit donc être rejetée, cela d'autant plus que le SEVEN avait jugé les activités engendrées par l'existence d'un terrain de pétanque comme tolérables au sens de la LPE si elles ne dépassaient pas 22h00. Aucun élément au dossier ne permet de s'écarter de la positon de cette autorité. Les conditions de l'art. 22 LAT doivent dès lors également être considérées comme remplies s'agissant de cet aménagement. b) Par surabondance, on observera en dernier lieu que si cette installation n'a certes pas fait l’objet d’une enquête publique lors de son installation, elle a néanmoins reçu en 1985 l'aval de l'autorité cantonale compétente, lequel n'a jamais fait l'objet d'un recours de la part des époux Baumgartner. Or, la décision attaquée ne modifie en rien, sur ce point, la situation existante. Elle se limite à rappeler les conditions posées à l'obtention de l'autorisation initiale et évoquées ci-dessus. On pourrait ainsi se demander si en ne recourant qu'en 2003, soit à l'occasion de la demande de régularisation des autres installations construites sans autorisation dans la zone forestière, les époux Baumgartner n’ont pas agi tardivement. C'est en effet en 1985 déjà, au moment où ils ont été informés par la municipalité, puis par le SFFN, qu'une autorisation d'aménager le terrain de pétanque avait été accordée qu'ils auraient dû saisir l'autorité compétente pour contester la délivrance de cette autorisation. Il est vrai qu’il ne ressort pas clairement du dossier que les recourants auraient bien reçu la correspondance du SFFN du 8 novembre 1985. Cependant, il est établi qu’ils ont été informés par la municipalité, en date du 13 novembre 1985, de l’obtention par cette dernière d’une autorisation du service précité. De plus, le 18 avril 1986, le SFFN leur a fait part de sa position par un courrier ne comportant pas l'indication des délai et voie de recours. Si une telle absence d'indication rend la notification de la décision irrégulière et empêche en principe le délai de recours de commencer à courir (cf. B. Bovay, Procédure administrative, Berne 2000, p. 284), le Tribunal administratif a déjà eu l'occasion de juger que la décision ne pouvait pas être attaquée indéfiniment. En pareil cas, on peut au contraire exiger de son destinataire, en se fondant sur les règles de la bonne foi, qu'il s'informe des moyens de sauvegarder ses droits et, une fois renseigné, qu'il agisse en temps utile (cf. arrêts TA GE 1993/051 du 12 mars 1997, RDAF 1997 I 253, c. 1; cf. également arrêt TA AF.1999/0001 du 1er juillet 1999, RDAF 2000 I 102, c. 1e et P. Moor, Droit administratif, vol. II, p. 440). Dans la mesure où, comme on vient de le voir ci-dessus, les recourants pouvaient déduire, sinon de la lettre à tout le moins des circonstances, la portée du courrier du 18 avril 1996, il leur incombait de se renseigner rapidement - cela d'autant plus qu'ils étaient alors déjà assistés d'un mandataire professionnel - sur les moyens de droit à leur disposition et d'en faire usage s'ils entendaient ne pas en rester là. Au vu des ces circonstances, le tribunal émet de sérieuses réserves quant à la recevabilité du présent recours, en tant qu'il est fondé sur ces motifs, dans la mesure où l'on pourrait admettre que les recourants, qui n'ont pas réagi et ont attendu plusieurs années avant de contester la régularisation du terrain de pétanque, auraient violé le devoir de diligence qui leur incombait en vertu du principe de la bonne foi. Cette question peut toutefois demeurer ouverte, le recours devant de toute façon être rejeté au regard des considérants développés sous chiffre 6 a) ci-dessus.</w:t>
      </w:r>
    </w:p>
    <w:p>
      <w:r>
        <w:rPr>
          <w:b/>
        </w:rPr>
        <w:t>E. 7</w:t>
      </w:r>
    </w:p>
    <w:p>
      <w:r>
        <w:t>En conclusion, les installations litigieuses, à savoir l'édicule et le couvert à barbecue d'une part et, le terrain de pétanque d'environ 150 m2 autorisé dans cette zone depuis 1985, d'autre part, doivent être considérées comme imposées par leur destination et aucun intérêt prépondérant ne s'oppose à leur implantation. Le recours ne peut être que rejeté et la décision entreprise confirmée. Vu l'issue du pourvoi, les frais du présent arrêt seront mis à la charge des recourants déboutés qui n'ont pas droit à des dépens. Obtenant gain de cause et ayant procédé par l'intermédiaire d'un mandataire professionnel, la municipalité a quant à elle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