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AC.2004.0022 vom 24. November 2004</w:t>
      </w:r>
    </w:p>
    <w:p>
      <w:r>
        <w:t>VD Tribunal cantonal, 2004-11-24, FR</w:t>
      </w:r>
    </w:p>
    <w:p>
      <w:r>
        <w:rPr>
          <w:b/>
        </w:rPr>
        <w:t xml:space="preserve">Quelle: </w:t>
      </w:r>
      <w:r>
        <w:t>https://mcp.opencaselaw.ch/entscheid/vd_omni_AC.2004.0022</w:t>
      </w:r>
    </w:p>
    <w:p>
      <w:r>
        <w:t>FR: VD_OMNI AC.2004.0022 du 24 novembre 2004</w:t>
      </w:r>
    </w:p>
    <w:p>
      <w:r>
        <w:t>IT: VD_OMNI AC.2004.0022 del 24 novembre 2004</w:t>
      </w:r>
    </w:p>
    <w:p>
      <w:pPr>
        <w:pStyle w:val="Heading2"/>
      </w:pPr>
      <w:r>
        <w:t>Regeste</w:t>
      </w:r>
    </w:p>
    <w:p>
      <w:r>
        <w:t>EUGSTER/CHAVANNE, Municipalité de Froideville, Service de l'environnement et de l'énergie | Une règle fixant la longueur des bâtiments n'est pas applicable à un édifice constitué de deux corps accolés, décrochés en façade et surmontés de toitures de hauteurs différentes.</w:t>
      </w:r>
    </w:p>
    <w:p>
      <w:pPr>
        <w:pStyle w:val="Heading2"/>
      </w:pPr>
      <w:r>
        <w:t>Erwägungen</w:t>
      </w:r>
    </w:p>
    <w:p>
      <w:r>
        <w:rPr>
          <w:b/>
        </w:rPr>
        <w:t>E. 4</w:t>
      </w:r>
    </w:p>
    <w:p>
      <w:r>
        <w:t>RC à teneur duquel l'on n'est dispensé de respecter les distances aux limites de propriété, s'agissant de dépendances de peu d'importance, que si celles-ci ne forment pas "un tout architectural avec le bâtiment principal". Il considère en l'occurrence que, bien que le garage en question constitue un volume propre et dispose de sa propre toiture, cet ouvrage devait être considéré comme une excroissance du bâtiment principal compte tenu de la proximité directe des deux constructions, qui formeraient ainsi un tout architectural. Cet argument ne saurait pas davantage être reçu. L'on ne saurait en effet considérer que la municipalité abuse de son pouvoir d'appréciation en interprétant systématiquement la règle précitée en ce sens que la question de l'ensemble architectural ne se pose qu'en présence de constructions qui sont matériellement accolées l'une à l'autre, ce qui n'est en l'occurrence pas le cas. 5.                Le recourant critique ensuite la voie d'accès que les constructeurs entendent réaliser le long de la limite de son propre fonds. a) Se prévalant de la longueur de cette voie et du fait que sa réalisation implique d'importants mouvements de terre, il soutient qu'il ne saurait s'agir d'une dépendance au sens de l'art. 39 RATC, mais bien d'un ouvrage proprement dit qui ne pouvait être autorisé que dans le respect de la distance réglementaire jusqu'en limite de propriété. De jurisprudence constante, une voie d'accès n'est pas soumise au régime des dépendances que l'art. 39 RATC permet d'implanter jusqu'en limite de propriété. Elle échappe néanmoins aux règles sur les distances à ménager entre bâtiments et limite de propriété en tant qu'elle constitue un équipement de la construction,  pour autant toutefois qu'elle ne soit pas source de nuisances excessives pour le voisin, condition que l'on tient pour réalisée lorsque le projet n'emporte pas d'atteinte incompatible avec le droit public de la protection de l'environnement, plus particulièrement les règles fédérales relatives à la protection contre le bruit (Tribunal administratif, arrêt AC 2002/0242 du 22 mai 2003, et les références citées). Ces règles étant en l'occurrence respectées, ce dont le recourant ne disconvient au demeurant pas, le moyen doit être écarté sans qu'il y ait lieu de se prononcer sur le caractère plus ou moins opportun d'autres variantes qui s'offraient aux constructeurs. b) Le recourant  se plaint ensuite d'une violation de l'art. 54 RC, qui dispose notamment qu'aucun mouvement de terre en remblai ou déblai ne peut être supérieur à plus ou moins un mètre du terrain naturel, valeur limite dont il n'est pas contesté qu'elle se trouve en l'occurrence dépassée de quelques centimètres de hauteur sur quelques mètres de la longueur de la voie d'accès. La municipalité doit cependant être suivie lorsqu'elle fait valoir que les circonstances du cas d'espèce l'autorisaient à faire application de l'art. 106 RC lui conférant la faculté d'accorder exceptionnellement des dérogations de minime importance aux prescriptions du règlement lorsque l'état des lieux présente des problèmes particuliers, notamment en raison de la topographie du terrain ou des accès. c) Le recourant soutient encore que le choix de la voie d'accès litigieuse par le sud - contrairement à la variante de l'accès au nord par la constitution d'une servitude -   contrevient à l'art. 85 al. 2 RC, lequel commande que les accès carrossables privés raccordés au domaine public soient aménagés de manière à assurer une visibilité suffisante de part et d'autre et soient conçus de telle façon que les véhicules qui s'engagent sur la voie publique ou qui en sortent ne perturbent pas le trafic. Le recourant omet toutefois que la municipalité a en l'occurrence fait application de l'al. 3 de cette même disposition en exigeant des constructeurs une emprise de 8 mètres au débouché de la route cantonale ainsi que la pose de barrières en limite de propriété, satisfaisant ainsi à la ratio de la disposition invoquée qui est d'assurer la sécurité du trafic. 6.                Le recourant soutient encore que, contrairement à ce que prescrit l'art. 58 al. 2 RC, le faîte principal n'est pas parallèle aux courbes de niveau du terrain. La municipalité oppose à cet argument qu'elle a précisément requis des constructeurs, comme l'y autorise l'alinéa 1 er de la disposition invoquée, qu'ils modifient l'orientation de leur faîte pour tenir compte de celle des bâtiments voisins, exigence qui échappe ainsi à la critique. 7.                Lors de l'audience, le recourant a encore soutenu que la longueur de la façade excédait celle prescrite à l'art. 10 RC, lequel traite de la proportion à respecter entre la longueur et la hauteur des bâtiments. Cette argumentation se fonde sur le postulat que la construction litigieuse est formée d'un seul corps de 18 mètres de long. L'on ne saurait cependant faire abstraction du décrochement existant entre la partie sud et la partie nord de la construction, décrochement qui scinde celle-ci en deux corps de respectivement 11 mètres et 7 mètres de long, surmontés de toitures de hauteur bien différentes. Ainsi, il y a lieu de retenir que l'on est en présence de deux bâtiments accolés, dont les proportions respectives, conformes à celles prescrites à l'art. 10 RC, répondent à la ratio de l'art. 10 RC visant à restreindre le caractère massif des constructions. 8.                En audience également, le recourant a enfin soutenu que la piscine projetée ne pouvait être considérée comme une dépendance de peu d'importance dès lors qu'il s'agissait d'un ouvrage couvert. Il conclut au non respect de la distance minimale de 12 mètres prévue à l'art. 7 al. 3 RC entre bâtiments sis sur une même propriété. Ce moyen doit être également rejeté. Définissant les dépendances de peu d'importance, l'art. 39 al. 2 RATC ne prévoit en effet aucune limite de hauteur, ni ne n'exclut que l'ouvrage soit couvert, mais se borne à fixer comme conditions que la construction soit distincte du bâtiment principal, sans communication interne avec celui-ci, que son volume soit de peu d'importance par rapport à celui du bâtiment principal et qu'il ne serve en aucun cas à l'habitation ou à l'activité professionnelle, conditions qu'il y a lieu de tenir pour réalisées en l'espèce. Au demeurant, cette disposition énumère à titre d'exemples les pavillons, réduits de jardin ou garages particuliers pour deux voitures au plus, constructions auxquelles l'ouvrage amovible en PVC en question peut être assimilé. Enfin, s'agissant de l'emprise au sol de la construction, la jurisprudence a précisé qu'un bassin occupant moins de 40 mètres carrés en plan - comme c'est en l'occurrence le cas pour la piscine litigieuse, d'une surface de 32 mètres carrés - était assimilable à une dépendance (RDAF 1975 p. 214, 1986 p. 194). 9.                Des considérants qui précèdent, il résulte que la décision attaquée doit être confirmée et le recours rejeté en conséquence. En principe mis à la charge de la partie qui succombe, les frais de la procédure qu'il convient de mettre à la charge du recourant débouté seront réduits, les constructeurs devant en supporter une partie pour tenir compte du fait qu'ils ont renoncé à un premier projet en cours de procédure et sont de ce fait réputés avoir été déboutés quant à l'objet de cette première procédure (art. 55 LJPA). Pour ce même motif, les constructeurs ne se verront allouer que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