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AC.2004.0011 vom 26. Mai 2004</w:t>
      </w:r>
    </w:p>
    <w:p>
      <w:r>
        <w:t>VD Tribunal cantonal, 2004-05-26, FR</w:t>
      </w:r>
    </w:p>
    <w:p>
      <w:r>
        <w:rPr>
          <w:b/>
        </w:rPr>
        <w:t xml:space="preserve">Quelle: </w:t>
      </w:r>
      <w:r>
        <w:t>https://mcp.opencaselaw.ch/entscheid/vd_omni_AC.2004.0011</w:t>
      </w:r>
    </w:p>
    <w:p>
      <w:r>
        <w:t>FR: VD_OMNI AC.2004.0011 du 26 mai 2004</w:t>
      </w:r>
    </w:p>
    <w:p>
      <w:r>
        <w:t>IT: VD_OMNI AC.2004.0011 del 26 maggio 2004</w:t>
      </w:r>
    </w:p>
    <w:p>
      <w:pPr>
        <w:pStyle w:val="Heading2"/>
      </w:pPr>
      <w:r>
        <w:t>Regeste</w:t>
      </w:r>
    </w:p>
    <w:p>
      <w:r>
        <w:t>AFFOLTER Evelyne c/ Gland/Giovanni et Ignazio PALERMO | Les concurrents du bénéficiaire d'une autorisation ne sont pas légitimés à recourir en raison de la simple crainte d'être soumis à une concurrence accrue. Bien que la recourante ait en l'espèce un intérêt direct et concret à éviter que, dans la même localité, une station service de la même marque soit construite, cet intérêt n'apparaît pas digne de protection, faute d'une relation particulièrement étroite entre la recourante et ses concurrents qui découlerait, dans la branche en question, d'une réglementation spéciale ou d'autres circonstances particulières.</w:t>
      </w:r>
    </w:p>
    <w:p>
      <w:pPr>
        <w:pStyle w:val="Heading2"/>
      </w:pPr>
      <w:r>
        <w:t>Erwägungen</w:t>
      </w:r>
    </w:p>
    <w:p>
      <w:r>
        <w:rPr>
          <w:b/>
        </w:rPr>
        <w:t>E. 38</w:t>
      </w:r>
    </w:p>
    <w:p>
      <w:r>
        <w:t>et 55 de la loi du 18 décembre 1989 sur la juridiction et la procédure administratives (LJPA), un émolument sera mis à la charge de la recourante déboutée. Il n'y a en revanche pas lieu de mettre à sa charge des dépens en faveur de la commune de Gland, dont la municipalité a jugé bon de déposer une réponse sur le fond, alors qu'elle était uniquement invitée à produire son dossier. Les frais inutiles doivent en effet être supportés indépendamment de l'issue du litige par la partie qui les a occasionnés (v. Martin Bernet, Die Parteientschädigung in der schweizerischen Verwaltungsrechtspflege, n. 239, p. 137).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