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AC.2003.0254 vom 28. Dezember 2005</w:t>
      </w:r>
    </w:p>
    <w:p>
      <w:r>
        <w:t>VD Tribunal cantonal, 2005-12-28, FR</w:t>
      </w:r>
    </w:p>
    <w:p>
      <w:r>
        <w:rPr>
          <w:b/>
        </w:rPr>
        <w:t xml:space="preserve">Quelle: </w:t>
      </w:r>
      <w:r>
        <w:t>https://mcp.opencaselaw.ch/entscheid/vd_omni_AC.2003.0254</w:t>
      </w:r>
    </w:p>
    <w:p>
      <w:r>
        <w:t>FR: VD_OMNI AC.2003.0254 du 28 décembre 2005</w:t>
      </w:r>
    </w:p>
    <w:p>
      <w:r>
        <w:t>IT: VD_OMNI AC.2003.0254 del 28 dicembre 2005</w:t>
      </w:r>
    </w:p>
    <w:p>
      <w:pPr>
        <w:pStyle w:val="Heading2"/>
      </w:pPr>
      <w:r>
        <w:t>Regeste</w:t>
      </w:r>
    </w:p>
    <w:p>
      <w:r>
        <w:t>HOIRS de Hugo VIDOLI/DUTRUY, Municipalité de Crans-près-Céligny, PILLER | Projet prévoyant la réunion de deux parcelles avec transformation, rénovation du bâtiment existant et construction d'une nouvelle maison d'habitation. L'un des bâtiments transformés (cave à vin) étant contigu en partie avec l'autre (habitation). Le projet est contraire à la règlementation communale qui impose l'ordre non contigu (sauf exception possible pour des bâtiments formant un ensemble, ce qui n'est pas le cas). Recours des voisins admis.</w:t>
      </w:r>
    </w:p>
    <w:p>
      <w:pPr>
        <w:pStyle w:val="Heading2"/>
      </w:pPr>
      <w:r>
        <w:t>Erwägungen</w:t>
      </w:r>
    </w:p>
    <w:p>
      <w:r>
        <w:rPr>
          <w:b/>
        </w:rPr>
        <w:t>E. 1</w:t>
      </w:r>
    </w:p>
    <w:p>
      <w:r>
        <w:t>Déposée en temps utile et selon les formes légales par l'un des propriétaires voisins directement intéressé au respect de la réglementation communale, le recours est recevable en la forme.</w:t>
      </w:r>
    </w:p>
    <w:p>
      <w:r>
        <w:rPr>
          <w:b/>
        </w:rPr>
        <w:t>E. 2</w:t>
      </w:r>
    </w:p>
    <w:p>
      <w:r>
        <w:t>Les recourants s'en prennent tout d'abord aux places de parc prévues par le projet en contestant tout d'abord qu'il puisse s'agir d'une dépendance de peu d'importance au sens de l'art. 39 RATC, puis en invoquant, après la correction du projet (enquête complémentaire) un empiétement sur l'assiette d'une servitude. Comme l'ont relevé les constructeurs dans leurs observations du 6 février 2004, les places de stationnement ne se trouvent plus en limite de la parcelle no 463. Seule demeure dès lors l'objection liée à l'existence d'une servitude qui ferait obstacle à un tel aménagement, mais le tribunal ne peut que constater qu'il s'agit d'un problème de droit privé. Or, le permis de construire est une autorisation de police qui doit être délivrée lorsque les conditions légales formelles et matérielles sont réunies, des faits relevant du droit privé ne pouvant être pris en considération (v. par exemple un arrêt bernois, RNRF 2004 p. 91). Ce moyen ne peut dès lors être retenu.</w:t>
      </w:r>
    </w:p>
    <w:p>
      <w:r>
        <w:rPr>
          <w:b/>
        </w:rPr>
        <w:t>E. 3</w:t>
      </w:r>
    </w:p>
    <w:p>
      <w:r>
        <w:t>Les recourants s'en prennent ensuite à la terrasse devant être ajoutée au bâtiment 178, côté lac, et qui aggraverait le caractère non réglementaire de la construction, notamment sous l'aspect du CUS admissible. Mais cet élément ne saurait être pris en compte pour le calcul de l'indice d'utilisation. Selon le projet corrigé ensuite de l'enquête complémentaire, cet élément de construction est de dimension très modeste (1 m 50 sur  4 m) ce qui en fait non plus une terrasse, mais un balcon ne devant pas être pris en compte pour calcul du CUS. La surface brute de plancher utile se compose de l'addition de toutes les surfaces d'étages en dessus et en dessous du sol, y compris les surfaces des murs. N'entrent en revanche pas en considération les surfaces non utilisées ou non utilisables pour l'habitation ou le travail, notamment les balcons et les loggias ouverts (v. norme ORL-EPF no 514 420, ch. 1.1).</w:t>
      </w:r>
    </w:p>
    <w:p>
      <w:r>
        <w:rPr>
          <w:b/>
        </w:rPr>
        <w:t>E. 4</w:t>
      </w:r>
    </w:p>
    <w:p>
      <w:r>
        <w:t>En revanche, l'opposition des recourants est fondée dans la mesure où elle invoque que les conditions de l'art. 5.2. RCAT ne sont pas respectées en ce qui concerne la cave (bâtiment D sur le plan de situation), qui est accolée au bâtiment C sur une petite partie de la façade sud de celui-ci. Cette disposition impose en effet le respect de l'ordre non contigu, avec une exception possible soumise à des conditions strictes. L'ordre non contigu se caractérise notamment par l'implantation et les distances à observer entre bâtiments et limites de propriété ou entre bâtiments situés sur une même propriété (RDAF 1995 p. 285 consid. 4 b). Or, en l'espèce, est en cause l'aménagement d'une cave à vin dans le sous-sol existant (bâtiment D). Il s'agit donc de deux bâtiments de conception différente qui ne forment ainsi pas un ensemble, comme l'exige l'art. 5.2. al. 1. Les conditions d'une dérogation (art. 12 al. 1 RCAT) ne sont donc pas réalisées.</w:t>
      </w:r>
    </w:p>
    <w:p>
      <w:r>
        <w:rPr>
          <w:b/>
        </w:rPr>
        <w:t>E. 5</w:t>
      </w:r>
    </w:p>
    <w:p>
      <w:r>
        <w:t>Il résulte de ce qui précède que le recours doit être admis, et la décision attaquée annulée. Les frais doivent être mis à la charge des constructeurs, solidairement, lesquels doivent également des dépens aux recourants, qui obtiennent gain de cause avec l'aide d'un conseil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