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AC.2003.0251 vom 27. Dezember 2004</w:t>
      </w:r>
    </w:p>
    <w:p>
      <w:r>
        <w:t>VD Tribunal cantonal, 2004-12-27, FR</w:t>
      </w:r>
    </w:p>
    <w:p>
      <w:r>
        <w:rPr>
          <w:b/>
        </w:rPr>
        <w:t xml:space="preserve">Quelle: </w:t>
      </w:r>
      <w:r>
        <w:t>https://mcp.opencaselaw.ch/entscheid/vd_omni_AC.2003.0251</w:t>
      </w:r>
    </w:p>
    <w:p>
      <w:r>
        <w:t>FR: VD_OMNI AC.2003.0251 du 27 décembre 2004</w:t>
      </w:r>
    </w:p>
    <w:p>
      <w:r>
        <w:t>IT: VD_OMNI AC.2003.0251 del 27 dicembre 2004</w:t>
      </w:r>
    </w:p>
    <w:p>
      <w:pPr>
        <w:pStyle w:val="Heading2"/>
      </w:pPr>
      <w:r>
        <w:t>Regeste</w:t>
      </w:r>
    </w:p>
    <w:p>
      <w:r>
        <w:t>DUBUGNON/Municipalité de Bougy-Villars | Dès lors que le changement d'affectation litigieux implique l'octroi d'une dérogation et qu'il est susceptible de porter atteinte aux intérêts des propriétaires voisins, celui-ci ne saurait être dispensé d'enquête publique.</w:t>
      </w:r>
    </w:p>
    <w:p>
      <w:pPr>
        <w:pStyle w:val="Heading2"/>
      </w:pPr>
      <w:r>
        <w:t>Erwägungen</w:t>
      </w:r>
    </w:p>
    <w:p>
      <w:r>
        <w:rPr>
          <w:b/>
        </w:rPr>
        <w:t>E. 1</w:t>
      </w:r>
    </w:p>
    <w:p>
      <w:r>
        <w:t>n’est pas applicable aux demandes de permis de construire accompagnées de demandes de dérogation (loi, art. 85). (…) A l’exception des installations techniques intérieures mentionnées à l’art. 68a, les objets dispensés d’enquête publique sont soumis à permis de construire. » L’enquête publique a essentiellement pour but de renseigner les intéressés de façon complète sur la construction projetée (Benoît Bovay, Le permis de construire en droit vaudois, Ed. Payot, Lausanne 1988, p. 75 et suivantes). Reprenant à son compte la jurisprudence de la CCRC (publiée notamment in RDAF 1979, 231 et 1978, p. 332), le Tribunal administratif a jugé qu’une mise à l’enquête ne s’imposait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 tel est en particulier le cas lorsque les travaux sont achevés depuis plusieurs mois et sont visibles pour les tiers (v. RDAF 1992 p. 488 et ss). Toutefois, les conditions d’un refus ou d’une dispense demeurent restrictives, la mise à l’enquête étant la règle (v. notamment prononcé de la CCRC n° 6534 du 26 avril 1990 in RDAF 1991, p. 91; v. arrêts TA, AC 2004/0024 du 17 mai 2004; AC 2003/0159 du 13 novembre 2003). b) L'on a vu ci-avant que les travaux litigieux ont pour conséquence un changement d'affectation puisque, comme la vision locale a notamment permis de le constater, le premier étage de l’annexe est désormais habitable, alors qu'il a été autorisé comme galetas et réduit. En application de l'art. 68 let. d RATC, ce changement de destination est en tous les cas soumis à autorisation. Le Tribunal n'a pas à trancher ici la question de savoir si ce dernier pourrait être jugé conforme aux règles du RPGA. A priori, la question pourrait se poser du respect des règles relatives aux distances aux limites de propriété (art. 8 RPGA). Cette question dépend de celle de savoir quelle est la plus grande dimension en plan "a" des façades des bâtiments, au sens de l'art. 8 RPGA. Le fait que le bâtiment principal et l'annexe soient reliés par un mur pourrait représenter un facteur déterminant. Cas échéant, Philippe Dubugnon devrait demander une dérogation. Or, selon les art. 85a LATC et 72d al. 2 RATC, les demandes de dérogations doivent nécessairement être mises à l'enquête publique. On relève en outre que le changement de destination est susceptible de porter atteinte aux intérêts des propriétaires voisins. Les conditions pour que la procédure de régularisation soit effectuée sans mise à l'enquête publique au sens de l'art. 109 LATC ne sont par conséquent pas remplies en l'espèce. La décision de la municipalité doit ainsi être confirmée. 4.         Les considérants qui précèdent mènent au rejet du recours de Philippe Dubugnon et à la confirmation de la décision entreprise, le délai imparti au recourant pour mettre à l'enquête publique les réalisations exécutées sans permis dans l'annexe ECA 296 étant prolongé jusqu'au 31 janvier 2005. Les frais de la cause, comprenant un émolument de justice de 2'500 francs, ainsi que des débours de 220 francs correspondant aux indemnités versés aux témoins, sont mis à la charge du recourant. Il en est de même des dépens dus à la municipalité, qui a fait appel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