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AC.2003.0238 vom 16. Juni 2004</w:t>
      </w:r>
    </w:p>
    <w:p>
      <w:r>
        <w:t>VD Tribunal cantonal, 2004-06-16, FR</w:t>
      </w:r>
    </w:p>
    <w:p>
      <w:r>
        <w:rPr>
          <w:b/>
        </w:rPr>
        <w:t xml:space="preserve">Quelle: </w:t>
      </w:r>
      <w:r>
        <w:t>https://mcp.opencaselaw.ch/entscheid/vd_omni_AC.2003.0238</w:t>
      </w:r>
    </w:p>
    <w:p>
      <w:r>
        <w:t>FR: VD_OMNI AC.2003.0238 du 16 juin 2004</w:t>
      </w:r>
    </w:p>
    <w:p>
      <w:r>
        <w:t>IT: VD_OMNI AC.2003.0238 del 16 giugno 2004</w:t>
      </w:r>
    </w:p>
    <w:p>
      <w:pPr>
        <w:pStyle w:val="Heading2"/>
      </w:pPr>
      <w:r>
        <w:t>Regeste</w:t>
      </w:r>
    </w:p>
    <w:p>
      <w:r>
        <w:t>PERNET Pierre et consorts c/Aclens | Examen de la conformité d'un accès privé à une route cantonale au regard de l'art. 32 al. 2 LR.</w:t>
      </w:r>
    </w:p>
    <w:p>
      <w:pPr>
        <w:pStyle w:val="Heading2"/>
      </w:pPr>
      <w:r>
        <w:t>Erwägungen</w:t>
      </w:r>
    </w:p>
    <w:p>
      <w:r>
        <w:rPr>
          <w:b/>
        </w:rPr>
        <w:t>E. 4</w:t>
      </w:r>
    </w:p>
    <w:p>
      <w:r>
        <w:t>c) aa), p. 13; ATF 119 Ib 492, consid. 5b, cc; 117 Ib 114, consid. 4b; 112 Ib 424, consid. 3; v. aussi RDAF 1992, p. 193 et ss, not. 200). Le tribunal ne peut s'écarter de l'avis du service spécialisé que pour des motifs convaincants; il en est de même en ce qui concerne les constatations de fait qui fondent cet avis (cf. en matière d'études d'impact: Théo Loretan, Klaus Vallender, Jean Baptiste Zufferey, La loi sur la protection de l'environnement. Jurisprudence de 1990 à 1994 , DEP no spécial mai 1996, p. 27 et jurisprudences citées). En l'occurrence, les recourants n'ont avancé aucun motif particulier propre à démontrer que le tribunal devrait s'écarter de l'avis du SESA selon lequel l'équipement collectif d'évacuation des eaux claires et eaux usées est conforme aux exigences en la matière, quand bien même il s'écarterait quelque peu de la norme SN 592'000. Le tribunal s'estime par ailleurs suffisamment renseigné par les divers rapports techniques figurant au dossier et juge inutile de recourir à une expertise complémentaire. Le moyen des recourants doit par conséquent être écarté et la décision confirmée sur ce point. 5.                     Les recourants soutiennent que l'accès prévu par le projet n'est pas adéquat, que la sécurité des automobiliste et cyclistes quittant le chemin "En Pontou" ne serait pas assurée lorsqu'ils s'engagent sur la RC 151. Ils ont soumis une variante prévoyant cet accès à une trentaine de mètres plus loin sur la RC 151 en direction de Bussigny. a) Cette question doit être résolue à la lumière de l'art. 32 de la loi sur les routes du 10 décembre 1991 (LR), prescrivant que l'aménagement d'un accès privé aux routes cantonales est soumis à l'autorisation du département (al. 1). Cette autorisation n'est donnée que si l'accès est indispensable au bien-fonds, s'il correspond à l'usage commun de la route, en particulier s'il n'en résulte pas d'inconvénient pour la fluidité ou la sécurité du trafic, et, si l'accès envisagé s'intègre à l'aménagement du territoire et à l'environnement (al. 2). En l'espèce, l'ancien voyer du 2ème arrondissement, qui a participé à l'élaboration du projet, a relevé à l'audience que l'assiette de l'accès serait élargie dans le cadre du projet litigieux, assurant ainsi aux usagers une meilleure visibilité, vers la gauche,  jusqu'à la sortie du giratoire de Sécheron, situé à 60 mètres. Le projet améliore en outre la visibilité des usagers vers la droite également, par l'aménagement le long de la RC 151 d'une berme de sécurité, qu'il est prévu de laisser libre de toute plantation. L'ancien voyer préconise en outre que la vitesse sur la RC 151 soit limitée à 60 km/h, que cet axe soit pourvu d'une ligne continue avec une ouverture pour les usagers quittant le chemin "En Pontou" vers la gauche et enfin, que les usagers venant de Bussigny et souhaitant s'engager sur la desserte soient contraints d'aller faire demi-tour au giratoire pour revenir ensuite vers l'accès au lotissement. Ces diverses mesures de signalisation et de limitation de la vitesse devront toutefois être ordonnées par le biais de la procédure instituée par la législation sur la signalisation routière et ne relèvent pas de la procédure de permis de construire. Elles ne sont pas l'objet de la présente procédure et échappent par conséquent à la saisine du tribunal. b) La vision locale a permis au tribunal de constater que l'ouvrage mis à l'enquête présentera les avantages décrits ci-avant quant à la visibilité des usagers quittant la desserte et permettra d'assurer la sécurité et la fluidité du trafic à cet endroit de la RC 151. Le projet est ainsi conforme à  l'art. 32 LR et l'équipement prévu est par conséquent également conforme à cet égard. Partant, il n'est pas nécessaire d'examiner la variante proposée par les recourants, consistant à éloigner la desserte du giratoire. En effet, cette solution va à l'encontre du principe tendant à ce que les accès soient rapprochés autant que possible des localités. Elle aurait également pour résultat que le automobilistes provenant du giratoire disposeraient d'une plus grande distance d'accélération, compromettant ainsi d'autant la sécurité pour les usagers s'engageant sur la RC 151 depuis la desserte. Le moyen des recourants doit être écarté sur ce point également. 6.                     Les recourants ont soulevé d'autres arguments, tenant à l'emplacement d'une future aire de jeu, au stationnement des véhicules, au caractère public ou privé du chemin "En Pontou", aux frais d'entretien de ce chemin, au maintien d'un droit de passage en leur faveur et aux distances aux limites. Le tribunal administratif ne peut être saisi que d'un recours contre une décision administrative et dans ce cadre, l'objet du litige dépend de celui de la décision attaquée et des conclusions prises par les recourants (arrêt du Tribunal fédéral du 30 septembre 1997, RDAF 1999 I 263). En l'espèce, le projet litigieux, pas plus que la décision municipale, ne touchent l'une ou l'autre de ces questions. Les conclusions des recourants sur ces différents objets sont ainsi irrecevables dans le cadre du présent recours. On note que certaines des questions soulevées par les recourants relèvent du droit privé. D'autres, notamment en ce qui concerne le nombre de places de stationnement, devront être réglées lors de la mise à l'enquête des futures habitation du lotissement. 7.                    Il résulte des considérants qui précèdent que le recours de Pierre Pernet et consorts doit être rejeté dans la mesure où il est recevable. Les recourants supporteront les frais de la présente cause dès lors qu'ils succombent dans l'entier de leurs conclusions. Il se justifie d'allouer des dépens à la Commune d'Aclens, qui a consulté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