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AC.2003.0204 vom 21. Dezember 2004</w:t>
      </w:r>
    </w:p>
    <w:p>
      <w:r>
        <w:t>VD Tribunal cantonal, 2004-12-21, FR</w:t>
      </w:r>
    </w:p>
    <w:p>
      <w:r>
        <w:rPr>
          <w:b/>
        </w:rPr>
        <w:t xml:space="preserve">Quelle: </w:t>
      </w:r>
      <w:r>
        <w:t>https://mcp.opencaselaw.ch/entscheid/vd_omni_AC.2003.0204</w:t>
      </w:r>
    </w:p>
    <w:p>
      <w:r>
        <w:t>FR: VD_OMNI AC.2003.0204 du 21 décembre 2004</w:t>
      </w:r>
    </w:p>
    <w:p>
      <w:r>
        <w:t>IT: VD_OMNI AC.2003.0204 del 21 dicembre 2004</w:t>
      </w:r>
    </w:p>
    <w:p>
      <w:pPr>
        <w:pStyle w:val="Heading2"/>
      </w:pPr>
      <w:r>
        <w:t>Regeste</w:t>
      </w:r>
    </w:p>
    <w:p>
      <w:r>
        <w:t>LOUP Ginette et consorts/Municipalité de Montmagny, Service de l'environnement et de l'énergie, Swisscom Immeubles SA | La règle communale qui impose des exigences spécifiques d'intégration dans un village typique fait obstacle à l'implantation d'une antenne de téléphonie mobile. Mais la réglementation communale ne doit pas rendre impossible l'accomplissement d'une tâche fédérale. Condition remplie en l'espèce car l'antenne peut être installée dans une zone d'utilité publique sur laquelle un château d'eau est déjà construit et dont la structure peut être utilisée pour la pose des antennes. Le refus du permis est en outre compatible avec la liberté économique.</w:t>
      </w:r>
    </w:p>
    <w:p>
      <w:pPr>
        <w:pStyle w:val="Heading2"/>
      </w:pPr>
      <w:r>
        <w:t>Erwägungen</w:t>
      </w:r>
    </w:p>
    <w:p>
      <w:r>
        <w:rPr>
          <w:b/>
        </w:rPr>
        <w:t>E. 1</w:t>
      </w:r>
    </w:p>
    <w:p>
      <w:r>
        <w:t>a) La loi fédérale sur les télécommunications du 30 avril 1997 (LTC) a pour but d'assurer aux particuliers et aux milieux économiques des services de télécommunication variés, avantageux, de qualité et concurrentiels sur le plan national et international (art. 1 al. 1 LTC). Ainsi, la législation fédérale sur les télécommunications n'a pas pour objet de réglementer la procédure d'autorisation de construire des antennes de téléphonie mobile qui ressortent de la seule compétence du droit cantonal de l'aménagement du territoire dans les limites fixées par le droit fédéral de l'aménagement du territoire pour les constructions situées hors des zones à bâtir; la question de la limitation des rayons non ionisants fait l'objet d'une réglementation fédérale exhaustive par l'ordonnance sur la protection contre le rayonnement non ionisant du 23 décembre 1999 (RS 814.710, ORNI). b) La loi fédérale sur l'aménagement du territoire a pour but de veiller à une occupation du territoire propre à garantir un développement harmonieux de l'ensemble du pays. Dans l'accomplissement de leurs tâches, les autorités tiennent ainsi compte non seulement des besoins de l'économie et de la population mais aussi des données naturelles (art. 1er al. 1 LAT). C'est ainsi que la Confédération, les cantons et les communes doivent soutenir par des mesures d'aménagement les efforts qui sont entrepris notamment pour créer et maintenir un milieu bâti harmonieusement aménagé et favorable à l'habitat et à l'exercice des activités économiques (art. 1er al. 2 lettre b LAT). Les autorités chargées de l'aménagement du territoire doivent ainsi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(Moor, Commentaires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(Moor, Commentaires LAT, art. 17, no 7). c)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(Moor, Commentaires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protections adéquates sans pénaliser le solde de la parcelle (Moor, Commentaires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(Moor, Commentaires LAT, art. 17, no 80). Par exemple, l'instrument de la zone n'est pas adapté lorsque la mesure de protection, à côté d'une obligation de s'abstenir, - pouvant résulter d'un plan de zone classique et de son règlement qui l'accompagnent - nécessite d'imposer une obligation de faire; notamment l'obligation d'entretenir le bâtiment protégé ou encore les travaux de restauration à entreprendre pour assurer son développement ou sa mise en valeur (Moor,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(Moor, Commentaire LAT, art. 17, nos 83 à 93). 2.                     a) En droit vaudois, la loi sur l'aménagement du territoire et les constructions du 4 décembre 1985 (LATC)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b) La Commune de Montmagny a adopté un plan général d'affectation le 19 mars 1993 qui a été approuvé par le Conseil d'Etat le 10 septembre 1993 avec le règlement sur le plan général d'affectation et la police des constructions (LPGA). Selon l'art.</w:t>
      </w:r>
    </w:p>
    <w:p>
      <w:r>
        <w:rPr>
          <w:b/>
        </w:rPr>
        <w:t>E. 5</w:t>
      </w:r>
    </w:p>
    <w:p>
      <w:r>
        <w:t>RPGA, la zone de village est réservée à l'habitation, à l'exercice des activités en rapport avec la culture du sol, au commerce et à l'artisanat, à condition que celui-ci ne soit pas incommodant pour le voisinage ainsi qu'aux activités d'utilité publique. La hauteur des façades des bâtiments ne doit pas dépasser 7 mètres (art. 10 RPGA) et le nombre des étages habitables est limité à deux sous la corniche, rez-de-chaussée compris, les combles étant habitables sur un seul étage (art. 11 RPGA). L'art. 14 RPGA comporte une règle particulière concernant l'intégration des constructions dans le site construit. Selon cette disposition, les transformations ou constructions nouvelles devront s'harmoniser avec les constructions existantes, notamment dans la forme, les dimensions, les teintes et les détails de la construction, ainsi que dans l'orientation des toitures. Cette disposition a une portée plus restrictive et bien distincte de celle de la clause générale d'esthétique en ce sens qu'elle pose des exigences spécifiques d'intégration des nouveaux bâtiments par rapport aux constructions existantes et fait partie des mesures que les communes ont la compétence d'édicter dans leur plan d'affectation pour les paysages, les sites, les localités et les ensembles méritant protection au sens de l'art. 47 al. 2 ch. 2 LATC conformément au principe de droit fédéral posé à l'art. 17 al. 1 let. c LAT. c) En l'espèce, l'installation projetée est un mât métallique d'une hauteur de 21 mètres et d'un diamètre de 80 centimètres à la base. Le mât comporte dans une hauteur comprise entre 16 et 20 mètres, quatre antennes de téléphonie mobile. Une telle construction ne présente aucune des caractéristiques communes avec les constructions existantes, ni dans la forme, ni dans ses dimensions, et ni dans les teintes contrairement à ce qui est exigé par l’art. 14 RPGA. Les constructions villageoises et les anciennes fermes sont des bâtiments qui présentent plutôt une dominante horizontale avec de grandes toitures et des hauteurs à la corniche qui ne dépassent pas 7 mètres soit le tiers de la hauteur du mât projeté. Aussi, aucun détail de construction de l’antenne projetée ne correspond aux constructions environnantes alors qu’il s’agit d’une exigence claire de la réglementation communale. Ainsi, le tribunal constate que le mât envisagé par la société constructrice n’est pas conforme à l’art. 14 LPGA. d) Lorsque le droit fédéral et le droit cantonal et communal règlent chacun un domaine différent pour un projet de construction déterminé, ces trois différents ordres juridiques ne constituent pas moins un tout unique. Dès lors, la Confédération, et donc les entreprises concessionnaires visées par la loi sur les télécommunications, doivent pouvoir pour ses propres constructions respecter les règles établies par le droit cantonal et communal des constructions, dans la mesure où en tous les cas, l’application de ce droit ne rend pas impossible ou beaucoup plus difficile l’accomplissement de tâches constitutionnelles de la Confédération (voir ATF 102 Ia 355, consid. 5 d p. 360). A cet égard, le tribunal constate que l’art. 14 RPGA a pour effet d’exclure la construction d’antennes dans la zone de village; mais cette interprétation ne rend pas la tâche de l’entreprise concessionnaire impossible. En effet, à proximité directe de la zone de village, existe une zone d’utilité publique sur laquelle un château d’eau a été édifié. Cette zone est réservée aux constructions d’utilité publique existantes ou à créer et les règles applicables seront celles nécessitées par la destination de ces constructions pour autant qu’il n’en résulte pas d’inconvénient majeur pour le voisinage (art. 17 RPGA). Cette disposition précise aussi que l’intégration des constructions dans le paysage est particulièrement soignée mais sans poser les exigences spécifiques de l’art. 14 RPGA concernant l’harmonisation avec la forme, les dimensions, les teintes et les détails des constructions existantes. Il apparaît ainsi que la tâche fédérale déléguée à l’entreprise concessionnaire peut être facilement remplie par l’installation de l’antenne sur le château d’eau, ce que la constructrice elle-même avait d’ores et déjà envisagé avant le dépôt de la demande de permis de construire. Ainsi, l’application du règlement de la Commune de Montmagny sur le plan général d’affectation ne rend pas impossible la tâche fédérale mais permet la localisation de l’antenne à un endroit plus conforme à la réglementation des zones. 2. Il convient encore de déterminer si un refus du permis de construire fondé sur l’art. 14 RPGA est compatible avec la garantie de la propriété et de la liberté économique dont peut se prévaloir la société constructrice. a) L'art. 27 Cst. a une portée comparable à celle l'art. 31 de l'ancienne Constitution fédérale de 1874 (aCst) garantissant la liberté du commerce et de l'industrie. Le tribunal peut donc se référer à la jurisprudence rendue en application de l'art. 31 aCst. pour déterminer si les restrictions imposées à la recourante sont compatibles avec la garantie constitutionnelle. L'art. 27 Cst protège toute activité économique privée dirigée vers la production d'un gain et exercée à titre professionnel, soit toute activité déployée par une personne dans un but lucratif; il couvre le droit de choisir et d'exercer librement toute activité lucrative privée sur un point quelconque du territoire suisse (ATF 100 Ia 174; R. Rhinow, Commentaire de la Constitution fédérale de la Confédération suisse, II, ad. art. 31 Cst. no 27). Mais la liberté du commerce et de l'industrie n'a pas un caractère absolu (ATF 99 Ia 619). Les restrictions apportées à ce droit fondamental sont compatibles avec la constitution lorsqu'elles reposent sur une base légale, sont établies dans l'intérêt public et respectent le principe de proportionnalité (ATF 113 Ia 138 consid. 8). Ces principes jurisprudentiels sont maintenant inscrits à l'art. 36 Cst. b) Une restriction à la liberté économique doit ainsi reposer sur une base légale. La jurisprudence distingue à cet égard la base légale formelle de la base légale matérielle. Une base légale formelle est une règle de droit adoptée par le législateur, qui est en général assujettie au référendum; la base légale matérielle est une règle de droit adoptée par un autre organe que le législateur, en vertu d'une délégation législative ( André Grisel , op. cit. vol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Mais la délégation de compétence en faveur du législateur communal n'a pas besoin d'être délimitée aussi strictement quant à son objet qu'une délégation en faveur de l'autorité exécutive cantonale ou communale; en pareil cas la délégation législative précise la répartition des compétences entre canton et commune sans porter atteinte au principe de la séparation des pouvoirs et au contrôle démocratique (voir ATF 104 Ia 340 consid. 4b; 102 Ia 10 consid. 3b). Toutefois, dans le domaine de l'aménagement du territoire, il faut que le principe même de la restriction prévue par un plan d'affectation communal soit contenu dans la délégation législative cantonale (ATF 106 Ia 366 consid. 2). En l’espèce, l’art. 47 al. 2 chiffre 2 LATC prévoit que les communes peuvent fixer dans leurs règlements et leurs plans d’affectation les conditions concernant les paysages, les sites et les localités ainsi que les ensembles et les bâtiments méritant protection. La règle spécifique d’indexation des constructions posée par l’art. 14 RPGA repose donc sur une délégation législative cantonale précise et constitue une base légale suffisante pour refuser le permis de construire sollicité. Au demeurant, cette délégation s’adresse au législateur communal dont la décision d’adoption du règlement est soumise au référendum facultatif et présente ainsi les caractéristiques d’une base légale de niveau communal (voir ATF 122 I 305 consid. 5 a p. 312 ainsi que l’ATF 120 Ia 265 consid. 2 a p. 266-267). c) A la différence des autres droits fondamentaux, comme la garantie de la propriété (v. ATF 111 Ia 93 consid. 2b p. 98), n'importe quel intérêt public ne suffit pas encore à justifier une restriction à la garantie de la liberté économique; la jurisprudence a tout d'abord limité l'intérêt public aux mesures de police destinées à protéger la population dans les domaines de la santé publique, de l'ordre et de la tranquillité publique, ainsi que de la bonne foi et de la correction dans les affaires (par exemple ATF 116 Ia 118 consid. 3 p. 122 et les références citées); puis elle a étendu la notion d'intérêt public justifiant des restrictions à la liberté économique, aux motifs de politique sociale (ATF 97 I 499 ss et les ATF 120 Ia 126 consid. 4a p.132, 119 Ia 59 consid. 6a, p. 67 ) et enfin aux mesures d'aménagement du territoire (ATF 102 Ia 115 ss et les ATF 110 Ia 173; 109 Ia 269); sont exclues en revanche les mesures de politique économique destinées à favoriser certaines branches d'activité ou formes d'exploitation, ou encore, à diriger l'économie selon un plan, qui ne seraient pas fondées sur une norme constitutionnelle spéciale (ATF 120 Ia 67 consid. 2a p. 70; 111 Ia 93 ss). En l’espèce, les règles destinées à assurer l’intégration des constructions répondent à un intérêt public majeur concrétisé au niveau du droit fédéral par les art. 1 er al. 2 litt. b LAT et 3 al. 2 litt. b LAT. Il en va de même en ce qui concerne l’art. 17 al. 1 litt. b LAT, étant précisé que les dispositions particulières sur l’intégration des constructions font partie précisément des autres mesures réservées du droit cantonal par l’art. 17 al. 2 LAT (Moor, Commentaire LAT, art. 17 n° 87 et 88). La décision repose donc sur un intérêt public important et n’est pas destinée uniquement à des motifs de politique économique. d) Mais l'importance majeure de l'intérêt public en cause ne suffit pas encore à justifier le retrait des autorisations d'exploiter. Conformément au principe de la proportionnalité, les mesures prises doivent non seulement être justifiées par un intérêt public prépondérant, mais encore se limiter à ce qui est nécessaire pour la protection de celui-ci (ATF 117 Ia 318, cons. 4b, et les références citées). L'adaptation d'une mesure à son but (Tauglichkeit) est un aspect de ce principe (ATF 112 Ia 70 cons. 5c). Lorsque plusieurs mesures permettent d'atteindre l'objectif recherché, l'autorité doit alors appliquer celle qui lèse le moins les intéressés (art. 4 LATC). En l’espèce, le Tribunal constate qu’une interdiction de construire fondée sur l’art. 14 RPGA n’est pas contraire au principe de proportionnalité. En effet, la société constructrice a la possibilité d’installer les 4 antennes projetées sur le château d’eau qui présente une hauteur suffisante et dont la structure permet d’accueillir toutes les installations techniques. La Municipalité de Montmagny, propriétaire du terrain, a d’ailleurs donné expressément son accord et l’a confirmé en cours de procédure pour l’installation des antennes sur cet ouvrage. Il est vrai que la société constructrice a précisé qu’un tel aménagement entraînerait des coûts supplémentaires. Au demeurant, la société constructrice n’a pas prétendu que des motifs techniques liés à l’organisation du réseau s’opposaient à l’implantation des antennes sur le château d’eau qui avait été envisagée dès le départ. e) Ainsi, il apparaît que, en délivrant le permis de construire, la municipalité a excédé son pouvoir d’appréciation en renonçant à faire application de l’art. 14 RPGA pour s’opposer au permis de construire. 3. Il résulte des considérants qui précèdent que le recours doit donc être admis et la décision de la Municipalité de Montmagny annulée. Au vu de ce résultat, il y a lieu de mettre les frais de justice, arrêtés à fr. 2'500.--, à la charge de la constructrice. En outre, les recourants, qui obtiennent gain de cause, ont droit aux dépens qu’ils ont requis, arrêtés à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