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AC.2003.0106 vom 20. April 2006</w:t>
      </w:r>
    </w:p>
    <w:p>
      <w:r>
        <w:t>VD Tribunal cantonal, 2006-04-20, FR</w:t>
      </w:r>
    </w:p>
    <w:p>
      <w:r>
        <w:rPr>
          <w:b/>
        </w:rPr>
        <w:t xml:space="preserve">Quelle: </w:t>
      </w:r>
      <w:r>
        <w:t>https://mcp.opencaselaw.ch/entscheid/vd_omni_AC.2003.0106</w:t>
      </w:r>
    </w:p>
    <w:p>
      <w:r>
        <w:t>FR: VD_OMNI AC.2003.0106 du 20 avril 2006</w:t>
      </w:r>
    </w:p>
    <w:p>
      <w:r>
        <w:t>IT: VD_OMNI AC.2003.0106 del 20 aprile 2006</w:t>
      </w:r>
    </w:p>
    <w:p>
      <w:pPr>
        <w:pStyle w:val="Heading2"/>
      </w:pPr>
      <w:r>
        <w:t>Regeste</w:t>
      </w:r>
    </w:p>
    <w:p>
      <w:r>
        <w:t>PATRIMOINE PIERRE SA et consorts, PATRIMOINE PIERRE SA Société de gestion et, IMMO.CH SA/Municipalité de Montreux, Département des institutions et des relations extérieures, Service de l'aménagement du territoire | La création d'une zone de verdure sur une ancienne zone à bâtir d'un plan d'affectation de 1972 qui n'a pas été adapté aux exigences de la LAT se justifie sur un site sensible du territoire communal, peu construit et fortement exposé à la vue. La mesure est compatible avec la garantie de la propriété; en particulier, elle répond à un intérêt public important reconnu par la jurisprudence fédérale visant à réduire les zones à bâtir surdimensionnées et à assurer la protection du paysage. La présence d'une construction récente à proximité de la zone de verdure ne s'oppose pas à la mesure communale mais permet au contraire de constater l'atteinte ainsi portée au paysage et la nécessité de ne pas aggraver la situation.</w:t>
      </w:r>
    </w:p>
    <w:p>
      <w:pPr>
        <w:pStyle w:val="Heading2"/>
      </w:pPr>
      <w:r>
        <w:t>Erwägungen</w:t>
      </w:r>
    </w:p>
    <w:p>
      <w:r>
        <w:rPr>
          <w:b/>
        </w:rPr>
        <w:t>E. 1</w:t>
      </w:r>
    </w:p>
    <w:p>
      <w:r>
        <w:t>Il convient d'examiner si le Département des institutions et des relations extérieures (le département) a respecté les limites de son pouvoir d’examen et si sa décision respecte le cadre de l'autonomie communale tel qu’il est délimité par la législation cantonale sur l'aménagement du territoire et les constructions. a) La loi du 4 mars 2003 modifiant la procédure de recours en matière de plan d'affectation a limité le pouvoir d'examen du département à un contrôle en légalité (voir nouvel art. 61 al. 1 LATC entré en vigueur le 1er janvier 2004). Les dispositions transitoires précisent toutefois que ces modifications ne sont pas applicables aux plans qui ont déjà été adoptés par le conseil de la commune (art. 3 de la loi du 4 mars 2003). En l'espèce, l'autorité communale a adopté le plan partiel d'affectation "Sentier des ramoneurs" le 30 avril 2003 de sorte que la nouvelle procédure prévue par la loi du 4 mars 2003 n'est pas applicable; ce sont donc les anciens art. 60 et 61 LATC (ci-après : aLATC), en vigueur jusqu'au 31 décembre 2003, qui sont déterminants pour fixer l'étendue du pouvoir d'examen du département lorsqu'il a statué sur le recours. Selon l'art. 60a aLATC, le département se prononce sur les recours contre les décisions en matière de plans d'affectation avec un plein pouvoir d’examen, c'est-à-dire un contrôle qui s’étend à l’opportunité. Dans le contrôle de l'opportunité, l'autorité cantonale peut alors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(ATF 112 Ia 271 consid. 2c; 110 Ia 52-53 consid. 3; 98 Ia 435 consid. 4a). b) Par ailleurs, même dans un contrôle limité à la légalité du plan, l'autorité doit encore examiner les différents points faisant l'objet du rapport que l'autorité de planification doit adresser à l'autorité d'approbation du plan en vertu de l'art. 47 de l'ordonnance sur l'aménagement du territoire du 28 juin 2000 (OAT). Il s'agit notamment de la conformité du plan d'affectation au plan directeur cantonal (art. 26 al. 2 LAT), aux conceptions et plans sectoriels de la Confédération (art. 13 LAT), ainsi qu'aux buts et principes régissant l'aménagement du territoire (art. 1 et</w:t>
      </w:r>
    </w:p>
    <w:p>
      <w:r>
        <w:rPr>
          <w:b/>
        </w:rPr>
        <w:t>E. 3</w:t>
      </w:r>
    </w:p>
    <w:p>
      <w:r>
        <w:t>a) En droit vaudois, la loi sur l'aménagement du territoire et les constructions du 4 décembre 1985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tâche centrale des cantons et des communes en matière d'aménagement du territoire consiste à délimiter les zones à bâtir de manière conforme aux exigences de la loi fédérale, qui se caractérisent par le principe du regroupement (ATF 116 Ia 335 ss consid. 4), déduit notamment de la condition relative aux territoires déjà largement bâtis posée aux art. 15 al. 1 lit. a et 36 al. 3 LAT.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important sur la délimitation des zones à bâtir, en particulier leur localisation à proximité des arrêts de transports publics (Brandt, Moor, Commentaires LAT art. 18 N. 20). c) En l’espèce, l’examen du plan litigieux de même que l’inspection locale ont démontré que la parcelle 8836 des sociétés recourantes ne fait pas partie des territoires largement bâtis au sens de l’art. 15 al. 1 let. a LAT. Il s’agit d’un territoire situé à la périphérie de l'agglomération, longé par des voies historiques et dont la pente nécessite des frais de fondation qui peuvent paraître disproportionnés par rapport au coût de la construction. Il s’agit par ailleurs d’un site fortement exposé à la vue qui trouve son prolongement dans le vallon arborisé formé par la Baye de Montreux et qui mérite des mesures de protection spéciale et fait partie des zones à protéger au sens de l'art. 17 al. 1 LAT. Le secteur est par ailleurs répertorié dans le périmètre environnant IV dans le cadre des travaux de l'inventaire ISOS, décrit comme "Vignoble et champs surplombant les gorges du Chauderon" qui présente une signification prépondérante et pour lequel l'objectif de sauvegarde retenu est le maintien de l'état existant. Par ailleurs, les différents développements du plan directeur communal concernant la capacité des zones à bâtir montrent que la commune dispose d’une capacité largement supérieure aux besoins prévisibles dans les quinze années à venir qui n’exige pas le maintien de la parcelle en cause en zone à bâtir compte tenu d'une réserve répertoriée de 100 ha. Enfin, le tribunal constate que le plan des zones de 1972 n’a pas fait l’objet d’une modification en vue de sa conformité et de son adaptation aux exigences de la loi fédérale sur l’aménagement du territoire. Seuls les secteurs en zone agricole ont été modifiés et les zones à bâtir du plan de 1972 qui ne correspondent pas aux critères de l’art. 15 LAT étaient soumises aux dispositions de l’art. 36 al. 3 LAT. Ainsi, les parties du plan des zones communal de 1972 qui n'ont pas fait l'objet de la modification liée à la création des zones agricoles et qui ne sont pas conformes aux dispositions de la loi fédérale sur l'aménagement du territoire concernant tant la délimitation des zones à bâtir (art. 15 LAT) que la délimitation des zones à protéger (art. 17 al. 1 LAT)  sont  devenues caduques le 1er janvier 1988, conformément à l'art. 35 al. 1 let. b LAT (cf. ATF 127 I 103 consid. 6b/bb p. 106 ; 120 Ia 227 consid. 2c p. 233 ; 119 Ib 124 consid. 3c p. 132 ; 118 Ib 38 consid. 4a p. 44 et les références citées).</w:t>
      </w:r>
    </w:p>
    <w:p>
      <w:r>
        <w:rPr>
          <w:b/>
        </w:rPr>
        <w:t>E. 4</w:t>
      </w:r>
    </w:p>
    <w:p>
      <w:r>
        <w:t>Il convient encore de déterminer si les restrictions qui résultent des mesures de protection sont compatibles avec la garantie de la propriété. 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Conformément à l’obligation des cantons de protéger les localités typiques, les lieux historiques, les monuments naturels ou culturels, selon l’art. 17 al. 1 let. c LAT, la loi vaudoise sur l'aménagement du territoire et les constructions précise à son art. 47 al. 2 que les plans d'affectation peuvent contenir des dispositions relatives notamment aux paysages, aux sites, aux rives de lacs et de cours d'eau, aux localités et aux ensembles ou aux bâtiments méritant protection (art. 47 al. 2 ch. 2 LATC). Cette disposition autorise donc les communes à introduire dans leurs plans et règlements d’affectation les dispositions qui permettent d’assurer la conservation, la mise en valeur et la protection de paysages et de sites dignes de protection. L'art. 54 al. 1 LATC confirme, si nécessaire, que les zones protégées sont destinées à la protection des sites, des paysages d'une beauté particulière, des rives de lacs et de cours d'eau, de réserves naturelles ou d'espaces de verdure. En l'espèce, le plan partiel d'affectation "Sentier des ramoneurs", classe la parcelle 8836 en zone de verdure. L'art. 4 du règlement du plan partiel d'affectation prévoit que la zone de verdure a pour but la sauvegarde des sites et les articles 5 et 6 du règlement précisent les obligations de conservation des surfaces de verdure et d'entretien des ouvrages construits. La zone de verdure mise en cause par le recours vise donc des buts de protection des sites et trouve une base légale claire aux art. 47 al. 2 ch. 2 et 54 al. 1 LATC ainsi qu'à l'art. 17 al. 1 let. b et c LAT. b) Il faut encore déterminer si la mesure communale répond à un intérêt public prépondérant par rapport à l’intérêt des propriétaires concernés. A cet égard, les mesures destinées à la protection des paysages dignes de protection répondent à un intérêt public et constituent même l’un des buts essentiels de l’aménagement du territoire (voir art. 1 al. 2 let. a LAT). Cet intérêt public est encore confirmé par l’art. 3 al. 2 LAT prévoyant que les autorités chargées de l’aménagement du territoire doivent veiller à ce que le paysage soit préservé. Le Tribunal fédéral a d'ailleurs confirmé que la création de zones de verdure pour des motifs de protection du paysage répond à un intérêt public majeur pouvant justifier une réduction de la zone à bâtir (ATF 119 Ia 411 consid. 2b p. 415-416). En l'espèce, le tribunal a constaté que la parcelle en cause est fortement exposée à la vue et fait partie d'un site qui a une signification prépondérante dans l'agglomération de Montreux. L'inspection locale a d'ailleurs démontré que les constructions qui ont pu être édifiées sur la parcelle voisine 8832 sont particulièrement mal intégrées et entament le site de manière dommageable. Cette situation justifie les mesures restrictives prises par la commune afin de ne pas aggraver l'atteinte déjà portée au site. Il est vrai que la parcelle en cause était classée en zone à bâtir, mais il ressort du plan directeur communal que les réserves de capacité, de l'ordre de 100 ha seulement en milieu urbain, sont déjà trop importantes alors que les perspectives de croissance restent modestes. Or, les mesures destinées à réduire les zones à bâtir surdimensionnées répondent aussi à un intérêt public important (voir ATF 114 Ia 254 consid. 3 p. 255). Il est vrai que la parcelle en cause était formellement classée en zone à bâtir et la mesure de classement touche de manière importante l'intérêt économique du propriétaire. Mais la jurisprudence fédérale a précisé que le seul intérêt financier du propriétaire n'est pas déterminant dans la pesée des intérêts requise par la jurisprudence (ATF 114 Ia 364 consid. 4 p. 369/370). En outre, le plan contesté est le premier plan adapté aux exigences de la loi fédérale sur l'aménagement du territoire depuis l'adoption de la zone en 1972; lors de l'adoption d'un premier plan d'affectation conforme à la loi fédérale sur l'aménagement du territoire du 22 juin 1979, il faut que des circonstances spéciales existent pour pouvoir inclure un terrain dans une zone à bâtir conforme à l'art. 15 LAT (ATF 117 Ia 430 consid. 4c p. 432). De telles circonstances font défaut pour le terrain en cause, exposé à la vue dans un site sensible et à proximité d'une voie historique et dont la configuration nécessiterait d'importants et coûteux travaux de fondation et de consolidation. La parcelle ne fait en outre pas partie des terrains nécessaires au développement de la commune dans les 15 ans à venir selon le plan directeur communal. 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 4b, et les références citées). L'adaptation d'une mesure à son but (Tauglichkeit) est un aspect de ce principe (ATF 112 Ia 70 cons. 5c).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(art. 4 LATC). En l'espèce, il n'existe pas d'autres mesures de planification permettant d'atteindre les objectifs de protection recherchés par la zone de verdure, car même des constructions de moindre importance porteraient une atteinte importante au site en raison des travaux et mouvements de terre nécessités par la pente du terrain.</w:t>
      </w:r>
    </w:p>
    <w:p>
      <w:r>
        <w:rPr>
          <w:b/>
        </w:rPr>
        <w:t>E. 5</w:t>
      </w:r>
    </w:p>
    <w:p>
      <w:r>
        <w:t>a) Il résulte des considérants qui précèdent que le recours formé contre la décision du Département des institutions et des relations extérieures concernant le plan partiel d'affectation "Sentier des Ramoneurs" doit être rejeté et la décision attaquée maintenue. b) Il ressort de cette situation que le refus de la municipalité de mettre à l’enquête publique la demande de permis de construire apparaît justifié (voir RDAF 1992 p. 225, 1976 p. 266 et 1970 p. 260). Ainsi, le recours formé par Patrimoine Pierre SA et consorts contre cette décision doit être rejeté et la décision attaquée maintenue. c) Au vu de ce résultat, il y a lieu de mettre à la charge des sociétés recourantes un émolument de justice de 2’000 fr. La commune qui obtient gain de cause et qui a consulté un homme de loi,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