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AC.2003.0065 vom 14. September 2004</w:t>
      </w:r>
    </w:p>
    <w:p>
      <w:r>
        <w:t>VD Tribunal cantonal, 2004-09-14, FR</w:t>
      </w:r>
    </w:p>
    <w:p>
      <w:r>
        <w:rPr>
          <w:b/>
        </w:rPr>
        <w:t xml:space="preserve">Quelle: </w:t>
      </w:r>
      <w:r>
        <w:t>https://mcp.opencaselaw.ch/entscheid/vd_omni_AC.2003.0065</w:t>
      </w:r>
    </w:p>
    <w:p>
      <w:r>
        <w:t>FR: VD_OMNI AC.2003.0065 du 14 septembre 2004</w:t>
      </w:r>
    </w:p>
    <w:p>
      <w:r>
        <w:t>IT: VD_OMNI AC.2003.0065 del 14 settembre 2004</w:t>
      </w:r>
    </w:p>
    <w:p>
      <w:pPr>
        <w:pStyle w:val="Heading2"/>
      </w:pPr>
      <w:r>
        <w:t>Regeste</w:t>
      </w:r>
    </w:p>
    <w:p>
      <w:r>
        <w:t>BOISSARD Eric et consorts/CFF, Municipalité de Nyon, PERRIN Hoirie, Service de l'environnement et de l'énergie | Les places de parc sont assimilées aux dépendances mais elles ne sont pas limitées aussi strictement dans leur surfaces. Elles ne doivent pas créer des atteintes insupportables sans sacrifice excessif ou qui dépasseraient la mesures autorisée par le droit fédéral de la protection de l'environnement, y compris le principe de la prévention</w:t>
      </w:r>
    </w:p>
    <w:p>
      <w:pPr>
        <w:pStyle w:val="Heading2"/>
      </w:pPr>
      <w:r>
        <w:t>Erwägungen</w:t>
      </w:r>
    </w:p>
    <w:p>
      <w:r>
        <w:rPr>
          <w:b/>
        </w:rPr>
        <w:t>E. 16</w:t>
      </w:r>
    </w:p>
    <w:p>
      <w:r>
        <w:t>décembre 2002, les CFF ont sans doute donné leur accord à la création d'un passage à niveau au kilomètre 0945, soit à l'emplacement prévu par le projet pour l'accès des véhicules; il résulte toutefois de leur prise de position du 16 février 2004 que la création de ce nouvel accès sécurisé impliquerait simultanément la suppression de l'accès existant, dont bénéficient actuellement les habitants de la parcelle 1'321, soit les recourants. Or, ceux-ci n'ont pas souscrit à la convention en question; ils ne sont donc pas liés par les termes de celle-ci et, juridiquement, rien ne les oblige à renoncer à leur accès actuel. En d'autres termes, la solution préconisée et voulue par les CFF (un accès unique sécurisé, tout à la fois pour les immeubles projetés et ceux des recourants) n'est d'aucune manière garantie; il s'agit là pourtant, suivant les exigences actuelles en matière de sécurité ferroviaire, de conditions nécessaires pour que l'accès puisse être considéré comme sûr. Par ailleurs, les CFF ont évoqué le fait qu'ils étaient prêts à transférer les droits de passage privés existants au kilomètre 0.979 sur celui projeté au kilomètre 0.945; désormais, il apparaît peu probable qu'ils soient prêts à un tel transfert dans l'hypothèse où les recourants n'entendent pas renoncer à leur propre droit de passage, immédiatement voisin du nouveau passage à niveau projeté. cc) Quoi qu'il en soit de ces réflexions, le principe même de l'accès, tel que prévu par le projet, se heurte à divers obstacles. Tout d'abord, si l'accès projeté devait entrer en force, avec le maintien de l'accès actuel de la parcelle no 1'321, il ne serait pas suffisamment sûr au sens des exigences posées par la jurisprudence rendue en matière d'équipement (v. à ce sujet Droit fédéral et vaudois de la construction, annoté, ch. 3.2 ad. Art. 49 LATC). On pourrait aussi considérer que l'accord de l'entreprise ferroviaire, évoqué dans le formulaire de demande de permis d'implantation, doit être considéré en l'état comme insuffisant, puisqu'il doit être compris à la condition de la suppression simultanée d'un autre passage à niveau. En l'absence d'un accord inconditionnel (comparable à une autorisation spéciale), l'autorisation d'implantation ne devait pas être délivrée. De même on pourrait considérer encore comme insuffisamment garantie l'assurance donnée jusqu'ici par les CFF d'accorder aux constructeurs le titre juridique nécessaire au passage des véhicules sur le domaine ferroviaire (servitude; l'art. 104 al. 3 ne paraît donc pas respecté). d) On remarque que les questions évoquées ci-dessus se posent également s'agissant de l'accès à la route du Stand. On imagine mal en effet deux accès, implantés côte-à-côte et débouchant sur cette route communale. On peut en tous les cas douter qu'une telle situation fournisse une sécurité suffisante; elle n'est ainsi pas admissible au regard de l'art. 32 al. 2 de la loi du 10 décembre 1991 sur les routes. Certes, on pourrait imaginer que la commune ordonne la suppression de l'accès existant depuis la parcelle no 1'321; en l'état, elle n'a pas rendu une décision de ce type (même si elle a peut-être émis une préférence pour une solution technique concrète, au cours de la présente procédure), qui aurait dû être coordonnée avec le permis d'implantation. Il va de soi également qu'une telle décision serait susceptible d'un recours au Tribunal administratif. On note encore que la parcelle 1102 des constructeurs (on ignore ce qu'il en est des autres bien-fonds ici en cause) est au bénéfice d'une servitude qui pourrait permettre un accès unique, non pas comme prévu dans le projet, mais en empruntant la parcelle no 1'321; il semble donc bien que, par le passé déjà, on ait envisagé un tel accès. Il reste que la réalisation d'un accès unique pour l'ensemble des surfaces ici concernées supposerait sans doute aussi des travaux sur la parcelle no 1'321, et, en conséquence, la signature des plans à tout le moins par un représentant de la PPE, conformément à l'art. 108 al. 1 LATC. e) Il découle de ce qui précède que l'autorisation d'implantation querellée doit être annulée, ce qui conduit à l'admission du recours. 2.                     Cela étant,  l'examen du second moyen des recourants n'apparaît pas nécessaire. On se bornera dès lors à ce sujet à formuler quelques brèves observations. a) Le SEVEN, se référant au principe de prévention de l'art. 11 al. 2 LPE, a indiqué à ce sujet que le projet devrait être revu s'agissant des places de parc prévues en limite de la parcelle no 1'321 des recourants; il a suggéré soit un autre emplacement pour ces dernières, soit la création d'un mur antibruit. A cet égard, force est de relever que, si le tribunal retenait la première suggestion du SEVEN, cela conduirait à l'annulation du permis d'implantation sur ce second point. Il reste que l'autorité précitée a suggéré une solution alternative, soit la création d'une paroi antibruit. On peut se demander si une telle modification du projet peut avoir sa place, cas échéant, dans la phase ultérieure du permis de construire; la question ne doit cependant pas à être résolue ici, puisque le permis d'implantation se trouve de toute manière annulé, de sorte que le constructeur pourrait fort bien inclure un tel ouvrage de protection antibruit dans une nouvelle enquête d'implantation. b) Le Tribunal administratif a déjà jugé (arrêt AC 2000/7462 du 13 mai 1992) que les places de parc, bien qu'assimilées aux dépendances proprement dites (art. 39 al. 3 RATC) et soumises aux mêmes règles (notamment quant au lien avec le bâtiment principal, et à la limitation des nuisances pour le voisinage), ne sont pas limitées aussi strictement dans leur surface que les petites constructions au sens de l'art. 39 al. 2 RATC. Ainsi la Commission de recours en matière de constructions a-t-elle autorisé, en limite de propriété, l'aménagement de quatorze places de stationnement liées à un bâtiment locatif en zone de moyenne densité (prononcé no 5328, 31 juillet 1987, F. Jaquier et crts c/ Pully) et celui de treize places liées à une entreprise de charpente en zone du village (prononcé no 5585, 22 juillet 1988, E. Favre c/ Saint-Barthélémy). Le tribunal a jugé qu'il n'y avait pas de raison de s'écarter de cette jurisprudence. Par ailleurs, un pouvoir d'appréciation important doit être laissé à la municipalité quant au nombre de places de stationnement autorisées à l'air libre, en fonction de l'importance du bâtiment principal et des nuisances causées au voisinage (AC 1996/0087 du 7 avril 1997, communiqué aux parties, concernant 15 garages pour voitures et 22 places de parc extérieures en degré de sensibilité II au bruit; AC 1996/0142 du 4 juillet 1997 concernant 12 places à Lausanne, RDAF 1999 I p. 119; AC 1997/0231 du 28 avril 1998; AC 2000/7462 précité, AC 1999/0024, du 27 avril 1999 et AC 2002/0120, du 27 mars 2003; cf. par ailleurs, CCRC, prononcés nos 5328, 31 juillet 1987, F. J. et crts c/Pully; 5585, 22 juillet 1988, E. F. c/Saint-Barthélémy). S'agissant des nuisances, la jurisprudence a retenu que l'art. 39 al. 3 RATC devait être compris en relation avec le droit fédéral de l'environnement, tout au moins s'agissant de celles qui relèvent de cette matière (notamment le bruit lié ici aux places de parc). Autrement dit, lorsque l'art. 39 al. 4 RATC indique que les dépendances et constructions assimilées peuvent être autorisées pour autant qu'elles n'entraînent aucun préjudice pour les voisins, cela signifie qu'elles ne doivent pas être de nature à créer des atteintes qui ne seraient pas supportables sans sacrifice excessif ou encore qui dépasseraient la mesure autorisée par le droit fédéral de la protection de l'environnement (AC 1999/0024 précité; sur l'art. 39 al. 4 RATC, v. également ATF publié à la RDAF 2000 I 257). On ajoutera à ce sujet qu'il paraît raisonnable  (même si l'arrêt AC 1999/0024 n'en fait pas mention expresse) d'appliquer le régime découlant du droit fédéral en son entier, à savoir en y incluant également le principe de prévention, comme le suggère le SEVEN (ce point ne paraît d'ailleurs pas contesté par les constructeurs). c) Quoi qu'il en soit, les recourants, respectivement les constructeurs donnent chacun leur préférence à l'une des solutions suggérées par le SEVEN : une nouvelle implantation des places de parc pour les premiers, la création d'une paroi antibruit pour les seconds. Le tribunal, en l'état, laissera cette question ouverte, vu  l'issue du recours. Il observe encore qu'une vision des lieux n'aurait été utile que pour trancher entre l'une ou l'autre de ces deux variantes; dès lors qu'il peut s'abstenir de trancher ce débat, une telle mesure d'instruction s'avère superflue. Il n'est d'ailleurs pas exclu que la reprise du problème de l'accès débouche sur un déplacement (partiel) des places de parc projetées. Dans cette optique, on relèvera que la municipalité doit veiller à ce que les inconvénients et les avantages engendrés par les dépendances et les constructions qui leurs sont assimilées (telles les places de parc) soient répartis de manière équitable entre les propriétaires de celles-ci et leurs voisins (arrêt AC 2003/0090, du 27 octobre 2003). 3.                     Vu l'issue du recours, l'émolument d'arrêt doit être mis à la charge des constructeurs, solidairement entre eux; ceux-ci doivent également aux recourants une indemnité de titre de dépens, puisque ceux-ci sont intervenus à la procédure par l'intermédiaire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