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AC.2003.0063 vom 18. September 2003</w:t>
      </w:r>
    </w:p>
    <w:p>
      <w:r>
        <w:t>VD Tribunal cantonal, 2003-09-18, FR</w:t>
      </w:r>
    </w:p>
    <w:p>
      <w:r>
        <w:rPr>
          <w:b/>
        </w:rPr>
        <w:t xml:space="preserve">Quelle: </w:t>
      </w:r>
      <w:r>
        <w:t>https://mcp.opencaselaw.ch/entscheid/vd_omni_AC.2003.0063</w:t>
      </w:r>
    </w:p>
    <w:p>
      <w:r>
        <w:t>FR: VD_OMNI AC.2003.0063 du 18 septembre 2003</w:t>
      </w:r>
    </w:p>
    <w:p>
      <w:r>
        <w:t>IT: VD_OMNI AC.2003.0063 del 18 settembre 2003</w:t>
      </w:r>
    </w:p>
    <w:p>
      <w:pPr>
        <w:pStyle w:val="Heading2"/>
      </w:pPr>
      <w:r>
        <w:t>Regeste</w:t>
      </w:r>
    </w:p>
    <w:p>
      <w:r>
        <w:t>YERSIN Dominique et Nicolas c/ Echallens et BLOCH Christine et Paul | La question de savoir si la municipalité peut assouplir les exigences posées par l'art. 69 al. 1 RATC quant au contenu du dossier d'enquête peut rester ouverte en l'espèce car on ne peut pas déroger à l'objectif de base énoncé par l'art. 69 al. 2 RATC, qui est de permettre aux tiers de se rendre compte de l'importance et de la nature des travaux projetés. Or les pièces du dossier sont en l'espèce insuffisantes ou inexactes.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RATC peut rester ouverte. 5.                     A plusieurs reprises en cours d'audience, la municipalité, par l'intermédiaire de son syndic, a déclaré que les griefs des recourants concernaient des intérêts purement privés, dont elle n'avait pas à se préoccuper. Sa décision respecterait, selon elle, l'art. 39 al. 4 RATC, qui a la teneur suivante: "Ces constructions ne peuvent être autorisées que pour autant qu'elles n'entraînent aucun préjudice pour les voisins." A toutes fins utiles et conformément à cette disposition, on précisera que lorsque la municipalité est saisie d'un dossier complet, il lui incombe de procéder à une pesée des intérêts en présence. En particulier, la municipalité ne saurait considérer que les intérêts que font valoir les voisins sont des intérêts privés dont elle n'a pas à tenir compte. La jurisprudence interprète l'art. 39 al. 4 RATC en ce sens que l'ouvrage projeté ne doit pas entraîner d'inconvénients appréciables, c'est-à-dire insupportables sans sacrifice excessif. Le Tribunal fédéral a confirmé cette interprétation qui permet seule la pesée des intérêts contradictoires en présence (ATF 1P.411/1999 du 10 novembre 1999 concernant la cause cantonale AC 1999/0040, PICCHIOTTINO Adrienne c/ Yves Perben et Municipalité de Rougemont, du 27 septembre 1999; voir par exemple AC 2001/0255 du 21 mars 2002). Il appartiendrait donc à la municipalité d'analyser les intérêts respectifs des parties avant de se prononcer sur l'octroi du permis de construire. Il n'y a pas lieu que le Tribunal administratif le fasse ici car seule est en cause la dispense d'enquête, qui a été accordée à tort. 6.                     Vu ce qui précède, le recours doit être admis et la décision de dispense d'enquête annulée purement et simplement. L'issue du recours justifie qu'un émolument soit mis à la charge de la commune et non à celle des constructeurs qui pouvaient se fier de bonne foi à la procédure suivie par la commune. Les recourants obtiennent gain de cause mais n'ont pas droit à des dépens puisque, défendant eux-mêmes leur cause, ils n'ont pas encouru de frais de mandataire.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