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AC.2002.0212 vom 10. Juli 2003</w:t>
      </w:r>
    </w:p>
    <w:p>
      <w:r>
        <w:t>VD Tribunal cantonal, 2003-07-10, FR</w:t>
      </w:r>
    </w:p>
    <w:p>
      <w:r>
        <w:rPr>
          <w:b/>
        </w:rPr>
        <w:t xml:space="preserve">Quelle: </w:t>
      </w:r>
      <w:r>
        <w:t>https://mcp.opencaselaw.ch/entscheid/vd_omni_AC.2002.0212</w:t>
      </w:r>
    </w:p>
    <w:p>
      <w:r>
        <w:t>FR: VD_OMNI AC.2002.0212 du 10 juillet 2003</w:t>
      </w:r>
    </w:p>
    <w:p>
      <w:r>
        <w:t>IT: VD_OMNI AC.2002.0212 del 10 luglio 2003</w:t>
      </w:r>
    </w:p>
    <w:p>
      <w:pPr>
        <w:pStyle w:val="Heading2"/>
      </w:pPr>
      <w:r>
        <w:t>Regeste</w:t>
      </w:r>
    </w:p>
    <w:p>
      <w:r>
        <w:t>CCP Centre Construction Pully Sàrl c/Pully | Un recours fondé sur des moyens relevant exclusivement du droit privé et invoquant de manière générale une violation de la LDTR est insuffisamment motivé et, partant, irrecevable.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et 55 LJPA, il y a lieu de mettre à la charge de la recourante un émolument pour la constitution du dossier, les écritures consécutives au dépôt du recours et le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