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AC.2002.0203 vom 21. Februar 2005</w:t>
      </w:r>
    </w:p>
    <w:p>
      <w:r>
        <w:t>VD Tribunal cantonal, 2005-02-21, FR</w:t>
      </w:r>
    </w:p>
    <w:p>
      <w:r>
        <w:rPr>
          <w:b/>
        </w:rPr>
        <w:t xml:space="preserve">Quelle: </w:t>
      </w:r>
      <w:r>
        <w:t>https://mcp.opencaselaw.ch/entscheid/vd_omni_AC.2002.0203</w:t>
      </w:r>
    </w:p>
    <w:p>
      <w:r>
        <w:t>FR: VD_OMNI AC.2002.0203 du 21 février 2005</w:t>
      </w:r>
    </w:p>
    <w:p>
      <w:r>
        <w:t>IT: VD_OMNI AC.2002.0203 del 21 febbraio 2005</w:t>
      </w:r>
    </w:p>
    <w:p>
      <w:pPr>
        <w:pStyle w:val="Heading2"/>
      </w:pPr>
      <w:r>
        <w:t>Regeste</w:t>
      </w:r>
    </w:p>
    <w:p>
      <w:r>
        <w:t>ORANGE COMMUNICATIONS SA/ Noville, Service de l'aménagement du territoire, Service de l'environnement et de l'énergie | La commune ne peut pas refuser le permis de construire (ici: une antenne de télécommunication) pour des motifs tirés du droit fédéral quant l'application de ce droit (ORNI et autorisation hors zone à bâtir) est de la compétence de l'autorité cantonale. Peut-elle invoquer les règles communales sur l'esthétique pour refuser le permis de construire alors que l'autorisation cantonale implique déjà un examen de l'intégration paysagère de l'installation ? (question laissée ouverte). Admission du recours de l'opérateur car la coordination prévue par la convention de 1999 a été effectuée et l'implantation de l'antenne dans la plaine du Rhône (où elle serait visible même en zone à bâtir) à proximité de bâtiments existants en zone agricole ne porte pas atteinte à un intérêt prépondérant.</w:t>
      </w:r>
    </w:p>
    <w:p>
      <w:pPr>
        <w:pStyle w:val="Heading2"/>
      </w:pPr>
      <w:r>
        <w:t>Erwägungen</w:t>
      </w:r>
    </w:p>
    <w:p>
      <w:r>
        <w:rPr>
          <w:b/>
        </w:rPr>
        <w:t>E. 1</w:t>
      </w:r>
    </w:p>
    <w:p>
      <w:r>
        <w:t>La recourante Orange Communications SA fait valoir que la municipalité n’était pas compétente pour statuer : si elle entendait contester la décision du SEVEN, elle devait, selon la jurisprudence, recourir contre cette décision. Pour ce qui concerne l'application de la loi fédérale sur la protection de l'environnement (LPE), l'art. 2 al. 2 du règlement cantonal d'application de la LPE, du 8 novembre 1989, prévoit que s'il y a lieu à autorisation spéciale au sens de la législation sur l'aménagement du territoire et les constructions, l'autorité compétente pour appliquer la LPE est le département désigné par cette législation. Le Tribunal administratif a déjà jugé que dans un tel cas, la commune qui conteste l'application du droit fédéral par l'autorité cantonale doit recourir contre la décision de cette dernière; elle ne peut pas se contenter de refuser le permis de construire pour des motifs tirés du droit fédéral (arrêts AC.2000.0186 du 2 décembre 2004; AC.2001.0011 du 18 décembre 2001; AC.1998.0132 du 20 juin 2000, AC 1994.0193 du 1er mai 1996, qui cite un ATF du 8 juin 1984 en la cause H. et les arrêts AC.1991.0008 du 7 août 1992, AC.1991.0017 du 1er juillet 1994, AC.1995.0195 du 25 janvier 1996). En l’espèce, c’est en vain que la Commune invoque, en termes d’ailleurs assez vagues, la polémique relative aux rayons non ionisants. Cette question relève du droit fédéral de la protection de l'environnement, plus particulièrement de l' ordonnance sur la protection contre le rayonnement non ionisant (ORNI) du 23 décembre 1999. Elle est donc de la compétence de l'autorité cantonale en vertu du règlement cantonal cité ci-dessus, adopté par le Conseil d'Etat. La commune n’a pas contesté la position exprimée par les autorités cantonales, en particulier par le SEVEN, qui constate que les règles de l'ORNI sont respectées. En l’absence d’un recours contre ces décisions, il n’y a pas lieu d’y revenir. A toutes fins utiles, on rappellera que le Tribunal fédéral a jugé que la réglementation de la limitation préventive des émissions par l'ORNI est exhaustive et que le concept de cette ordonnance ainsi que ses valeurs limites sont conformes à la loi fédérale sur la protection de l'environnement (ATF 126 II 399). Cette jurisprudence a été confirmée à de multiples reprises (v. en dernier lieu un arrêt qui résume la jurisprudence: ATF 1A.134/2003 du 5 avril 2004, DEP 2004 p. 228; sur la question - toujours résolue négativement - de savoir si des études nouvelles justifiaient une autre conclusion: 1A.62/2001 du 24 octobre 2001, RDAF 2003 I p. 527 et DEP 2002 p. 62; voir dans le même sens l'arrêt du Tribunal de céans AC.2003.0261 du 10 mai 2004). 2.                Le solde de la motivation de la décision négative de la municipalité a trait à l'intégration paysagère de l'installation litigieuse. Plus précisément, la municipalité intimée invoque les dispositions communales sur l'esthétique: l'art. 25 du règlement communal sur le plan d'extension, approuvé par le Conseil d'Etat le 2 novembre 1988, reprend les principes de la clause d'esthétique de l'art. 86 LATC. On peut se demander ici également si la commune n'aurait pas dû recourir contre la décision rendue par le Service de l'aménagement du territoire. En effet, la décision cantonale doit, puisque le projet se trouve hors de la zone à bâtir, examiner le respect des conditions auxquelles l'art. 24 de la loi fédérale sur l'aménagement du territoire (LAT) subordonne l'octroi d'une autorisation, ce qui suppose que : a)  l'implantation du projet hors de la zone à bâtir est imposée par sa destination, b)  aucun intérêt prépondérant ne s'y oppose. Les considérations d'intégration paysagères font partie des divers intérêts qui peuvent s'opposer à l'octroi d'une autorisation pour un projet hors de la zone à bâtir au sens de l'art. 24 LAT. Ainsi, la décision municipale contestée, en tant qu'elle invoque la clause d'esthétique du règlement communal, est fondée sur une compétence concurrente de la compétente cantonale. Finalement, on peut s'abstenir de déterminer si la commune peut invoquer la clause d'esthétique lorsqu'elle a renoncé à contester une autorisation cantonale hors zone à bâtir qui implique déjà la prise en considération de l'intégration paysagère de l'installation. En effet, la cause peut être tranchée par les considérants qui suivent. 3.                En matière d'implantation d'antennes de téléphonie mobile, la jurisprudence du Tribunal fédéral considère que l'on ne peut pas examiner séparément la question de l'implantation imposée par sa destination et celle de la pesée des autres intérêts qui entrent en considération (ATF 1A.186/2002 du 23 mai 2003, consid. 3.4 in fine; cet arrêt est disponible sur le site internet du Tribunal fédéral). Il faut examiner si le déficit de couverture ou de capacité ne peut pas être comblé par une implantation dans la zone à bâtir et examiner si ce déficit ne pourrait pas être éliminé par l'utilisation en commun d'une installation déjà existante d'un autre opérateur (ATF 1A.186/2002, consid. 3.1.et 3.2). La pesée des intérêts doit également inclure l'examen des éventuelles implantations alternatives (ATF 1A.186/2002, consid. 3.3. et 3.4). Comme le Tribunal administratif a déjà eu l'occasion de le constater (AC.2003.0168 du 7 octobre 2004; AC.2003.0078 du 26 mai 2004; AC.2003.0124 du 21 janvier 2004; AC.2001.0219 du 16 août 2002; AC.2000.0194 du 12 mars 2002; AC.1999.0153 du 26 octobre 2000), le canton de Vaud a mis en place une forme de coordination des installations de téléphonie mobile qui repose sur une convention signée au mois d'août 1999 entre les différents opérateurs et deux département cantonaux, celui de la sécurité et de l'environnement et celui des infrastructures. En bref, cette convention prévoit que le Service de l'environnement et de l'énergie doit recevoir des renseignements sur les coordonnées et les spécifications techniques de toutes les installations, sur les secteurs où le réseau est en cours de planification avec l'indication des installations nouvelles, en service mais à étendre, ou à supprimer. Le SEVEN traite ces données de manière confidentielle et ne les transmet que s'il constate qu'une coordination est nécessaire pour un emplacement prévu, la coordination étant réputée nécessaire lorsque les emplacements sont situés à 100 m ou moins l'un de l'autre dans les zones à construire ou à 1 km l'un de l'autre dans l'aire rurale. A l'aide d'un catalogue de critères, la convention prévoit que les opérateurs "sont disposés à exploiter des emplacements communs" si la technique, les conditions économiques et juridiques le permettent et à tenir compte, dans le choix des emplacements communs, des intérêts cantonaux en matière de protection du paysage, de la nature, des sites et des monuments. 4.                En l'espèce, et à supposer même que la commune soit habilitée à invoquer la clause d'esthétique du règlement communal pour remettre en cause l'autorisation cantonale, on devrait constater que la coordination exigée par la convention précitée a été effectuée par l'autorité cantonale. La question de l'intégration paysagère est sans doute délicate car la Plaine du Rhône est un paysage plat dans lequel les installations telles que les pylônes électriques ou les antennes comme le projet litigieux sont visibles loin à la ronde. Le tribunal a pu le constater durant l'inspection locale car on voit au loin des pylônes électriques implantés dans la plaine. Cependant, en raison du caractère dégagé de la plaine, une antenne sera visible même si elle est implantée en zone à bâtir. A ceci s'ajoute, comme les représentants de la constructrice l'ont exposé en audience, les contraintes technique tenant au fait que l'antenne doit tourner le dos au lac pour ne pas perturber la région de Montreux. Finalement, l'impact paysager ne serait pas moindre s'il fallait construire deux antennes séparées pour Noville et pour Rennaz, ou augmenter la hauteur des deux installations qui existent déjà et auprès desquelles le tribunal s'est rendu durant l'inspection locale. Dans ces conditions, en tant que le projet litigieux prend place en un endroit portant déjà plusieurs constructions au bord de route cantonale, l'impact visuel qu'engendre l'antenne n'est pas tel qu'il doive être considéré comme portant atteinte à un intérêt prépondérant au sens de l'art. 24 LAT. En définitive, les considérations esthétiques invoquées par l'autorité municipale ne justifient pas, à supposer qu'elles puissent être opposées à l'appréciation de l'autorité cantonale statuant en application de l'art. 24 LAT, le refus du permis de construire. 5.                Le recours doit donc être admis et la décision municipale réformée en ce sens que le permis de construire sollicité est délivré. Les frais seront mis à la charge de la commune qui succombe au sens de l'art. 55 al. 1 LJPA. Des dépens seront mis à la charge de la commune comme le prévoit l'art. 55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