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AC.2002.0141 vom 30. März 2004</w:t>
      </w:r>
    </w:p>
    <w:p>
      <w:r>
        <w:t>VD Tribunal cantonal, 2004-03-30, FR</w:t>
      </w:r>
    </w:p>
    <w:p>
      <w:r>
        <w:rPr>
          <w:b/>
        </w:rPr>
        <w:t xml:space="preserve">Quelle: </w:t>
      </w:r>
      <w:r>
        <w:t>https://mcp.opencaselaw.ch/entscheid/vd_omni_AC.2002.0141</w:t>
      </w:r>
    </w:p>
    <w:p>
      <w:r>
        <w:t>FR: VD_OMNI AC.2002.0141 du 30 mars 2004</w:t>
      </w:r>
    </w:p>
    <w:p>
      <w:r>
        <w:t>IT: VD_OMNI AC.2002.0141 del 30 marzo 2004</w:t>
      </w:r>
    </w:p>
    <w:p>
      <w:pPr>
        <w:pStyle w:val="Heading2"/>
      </w:pPr>
      <w:r>
        <w:t>Regeste</w:t>
      </w:r>
    </w:p>
    <w:p>
      <w:r>
        <w:t>BRON Olivier et crts c/ Belmont-sur-Lausanne/Tradimco | Le découpement d'un terrain constructible en parcelles de forme insolite, dans le respect de la réglementation communale, ne constitue pas un abus de droit manifeste lorsque les constructions en cause forment un ensemble harmonieux. Il importe peu qu'un plan de fractionnement n'ait été publié que postérieurement à l'enquête publique si les recourants en avaient connaissance. Les voies d'accès relèvent de l'équipement des parcelles; elles sont suffisantes lorsqu'elles permettent d'accueillir tout le trafic de la zone qu'elles desservent.</w:t>
      </w:r>
    </w:p>
    <w:p>
      <w:pPr>
        <w:pStyle w:val="Heading2"/>
      </w:pPr>
      <w:r>
        <w:t>Erwägungen</w:t>
      </w:r>
    </w:p>
    <w:p>
      <w:r>
        <w:rPr>
          <w:b/>
        </w:rPr>
        <w:t>E. 21</w:t>
      </w:r>
    </w:p>
    <w:p>
      <w:r>
        <w:t>janvier au 9 février 2000, ce plan n'a pas figuré parmi les documents soumis à ladite enquête. Les recourants font valoir que le plan de fractionnement n'aurait pas été rendu public à temps et que de ce fait, l'enquête serait viciée; il importerait peu que le plan figurât parmi les documents accompagnant le dossier soumis à l'enquête publique complémentaire ouverte du 11 juin au 1er juillet 2002, puisque le fractionnement projeté n'était pas l'objet de cette enquête complémentaire. Selon les recourants, si ce plan avait été connu avant la clôture de l'enquête, d'autres opposants auraient pu recourir contre la décision de la Municipalité. b) La loi vaudoise sur l'aménagement du territoire et les constructions du 4 décembre 1985 (ci-après: LATC), en particulier son art. 83, ne prévoit pas la mise à l'enquête publique du plan de fractionnement. L'art. 69 RATC qui énumère les pièces à produire notamment en cas de constructions nouvelles, ne mentionne pas ces plans. Il n'existerait ainsi aucune exigence légale ou réglementaire de mettre à l'enquête un plan de fractionnement. Dès lors, l'enquête publique ouverte du 21 janvier au 9 février 2000 ne pourrait être considérée comme viciée de ce seul fait. c) En outre, les recourants, qui ont pu saisir le Tribunal administratif, ne subissent aucun préjudice du fait que le plan de fractionnement, daté du 10 mars 2000, ne leur était pas accessible lors de l'enquête publique ouverte du 21 janvier au 9 février 2000. De surcroît, comme le relève l'intimée, les recourants sont mal venus de se plaindre d'un plan de fractionnement corrigé dont ils ont eux-mêmes demandé la modification et qu'ils connaissaient puisqu'ils s'y réfèrent (voir décision du 30 août 2000, notifiée par l'intimée au conseil des opposants dans l'enquête 1/00). Au demeurant, selon la jurisprudence constante, l'enquête publique n'est pas une fin en soi (AC 2003/0124 du 21 janvier 2004, consid. 3). L'absence d'enquête ou de nouvelle enquête avant l'octroi du permis de construire n'impose la nullité de la décision municipale que si le vice a pour conséquence de gêner l'administré dans l'exercice de ses droits et qu'il en subit un préjudice (AC 2003/0124, qui cite RDAF 1992, p. 488 ss; 1978, p. 332 ss; AC 1999/0064; AC 1996/0180; AC 1995/0268; AC 1993/0292; AC 1993/0034; AC 1992/0191; AC 1991/0071). Les recourants ne sauraient d'ailleurs se prévaloir de l'atteinte qu'auraient pu subir des tiers à cet égard, car ce moyen est irrecevable (ATF non publié du 13 janvier 1994, LSPN c/ TA VD et DTPAT cons. 3 lit. f; voir dans le même sens AC 1993/0172 du 1er février 1994). Pour tous ces motifs, le moyen soulevé par les recourants doit être écarté. 4.                     a) Les recourants soutiennent que le chemin des Pralets qui dessert les parcelles serait dangereux: selon eux, la visibilité serait mauvaise et le trafic trop dense. Pour remédier à cela, ils proposent d'élargir le chemin, améliorant ainsi la visibilité, et de créer de chicanes afin de ralentir le trafic. A l'audience de ce jour, les représentants de la Municipalité ont admis qu'il y avait actuellement des problèmes de circulation sur le chemin des Pralets, causés par une déviation de trafic mise en place par la Commune de Lutry, ainsi que par la haie de l'un des opposants. b) Les voies d'accès relèvent de l'équipement des parcelles (art. 22 al. 2 de la loi du 22 juin 1979 sur l'aménagement du territoire (ci-après: LAT) et art. 104 al. 3 LATC). L'art. 19 al. 1 LAT, auquel le droit cantonal renvoie (art. 49 al. 1 LATC) exige que les voies d'accès soient adaptées à l'utilisation prévue; tel est le cas si la voie d'accès peut accueillir tout le trafic de la zone qu'elle dessert (A. Jomini, Commentaire LAT, art. 19, N. 18 ss). Ainsi, la loi n'impose pas des voies d'accès idéales. Selon la jurisprudence, il faut et il suffit que, par sa construction et son aménagement, une voie de desserte soit praticable pour le trafic et n'expose pas ses usagers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 2002/0001 du 3 avril 2002; RDAF 1999 I 219, 222). c) En l'espèce, le trafic de la Commune de Lutry est actuellement détourné par le chemin des Pralets. Si ce chemin peut supporter, momentanément, une telle surcharge de trafic, il pourra à plus forte raison desservir les parcelles litigieuses. Lors de l'inspection locale effectuée lors de la précédente audience, il avait été constaté que le passage des véhicules était aisé et laissait un espace suffisant aux piétons. Les nouvelles constructions n'aggraveront pas fondamentalement la situation, si bien qu'une modification de la voie d'accès existante n'est pas nécessaire. Au surplus, si les caractéristiques de l'accès nécessitent une conduite prudente, celle-ci implique un ralentissement de la vitesse des véhicules et permet de réduire les nuisances, tout en améliorant la sécurité des piétons (AC 1997/0047 du 30 avril 1999). Pour ces motifs, l'argument soulevé par les recourants ne peut être retenu. 5.                     a) Les recourants ont enfin des critiques à faire valoir au sujet des places de stationnement. Ils rappellent que selon l'art. 59 al. 4 RCA, les emplacements de stationnement doivent être aménagés sur le même bien-fonds que la construction à laquelle ils se rapportent, sauf exception autorisée par la Municipalité. Ils font observer que l'octroi d'une dérogation suppose une situation exceptionnelle et ne saurait devenir la règle (ATF 112 Ib 51, JT 1988 I 467). Ils craignent que la Municipalité intimée n'érige l'exception en règle générale et n'autorise systématiquement l'aménagement de places de stationnement sur d'autres biens-fonds que ceux des bâtiments auxquels elles se rapportent. Le tribunal a tranché cette question, déjà soulevée par les recourants, dans son arrêt du 15 avril 2002 (consid. 6b). Au surplus, à l'audience de ce jour, les représentants de la Municipalité ont confirmé que, dans la pratique communale, les dérogations sur ce chapitre ne sont accordées qu'exceptionnellement. En reconsidérant la question, le tribunal ne voit toujours pas que l'autorité intimée ait abusé de son pouvoir d'appréciation en accordant une dérogation prévue par l'art. 59 RCA. b) D'autres questions ont été esquissées en procédure (et notamment les inquiétudes suscitées par les problèmes de stabilité du terrain). On se réfère sur ces points aux considérants de l'arrêt déjà rendu (AC 2000/0157). 6.                     Il résulte des considérants qui précèdent que le recours est rejeté aux frais de leurs auteurs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