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AC.2002.0132 vom 26. Juni 2003</w:t>
      </w:r>
    </w:p>
    <w:p>
      <w:r>
        <w:t>VD Tribunal cantonal, 2003-06-26, FR</w:t>
      </w:r>
    </w:p>
    <w:p>
      <w:r>
        <w:rPr>
          <w:b/>
        </w:rPr>
        <w:t xml:space="preserve">Quelle: </w:t>
      </w:r>
      <w:r>
        <w:t>https://mcp.opencaselaw.ch/entscheid/vd_omni_AC.2002.0132</w:t>
      </w:r>
    </w:p>
    <w:p>
      <w:r>
        <w:t>FR: VD_OMNI AC.2002.0132 du 26 juin 2003</w:t>
      </w:r>
    </w:p>
    <w:p>
      <w:r>
        <w:t>IT: VD_OMNI AC.2002.0132 del 26 giugno 2003</w:t>
      </w:r>
    </w:p>
    <w:p>
      <w:pPr>
        <w:pStyle w:val="Heading2"/>
      </w:pPr>
      <w:r>
        <w:t>Regeste</w:t>
      </w:r>
    </w:p>
    <w:p>
      <w:r>
        <w:t>MEYER Kurt et Brigitte c/ Essertines-sur-Yverdon et ROTTET Alexandre | La manière dont les constructions sont cadastrées (ou non) au Registre foncier n'est pas déterminante pour le calcul de la surface bâtie. En effet, le coefficient d'occupation du sol est régi par le règlement communal, qui dipose d'une certain pouvoir normatif, ou à défaut par la jurisprudence cantonale. En revanche, l'état descriptif des immeubles au registre foncier (art. 942 du Code civil) dépend de la mensuration officielle régie par des ordonnances du Conseil fédéral. On ne peut donc pas se référer exclusivement, par exemple, à la définition des bâtiments figurant à l'art. 14 OTEMO.</w:t>
      </w:r>
    </w:p>
    <w:p>
      <w:pPr>
        <w:pStyle w:val="Heading2"/>
      </w:pPr>
      <w:r>
        <w:t>Erwägungen</w:t>
      </w:r>
    </w:p>
    <w:p>
      <w:r>
        <w:rPr>
          <w:b/>
        </w:rPr>
        <w:t>E. 23</w:t>
      </w:r>
    </w:p>
    <w:p>
      <w:r>
        <w:t>du règlement communal. A supposer que cette disposition soit considérée comme conforme au droit supérieur (voir le considérant 2c ci-dessus), elle permettrait apparemment à la municipalité de déterminer elle-même le coefficient d'occupation du sol lorsque ce coefficient n'est pas fixé, c'est-à-dire lorsqu'on ne se trouve pas en présence d'une nouvelle construction au sens de l'art. 22 bis du règlement communal. On peut s'abstenir de rappeler ici les développements infiniment subtils que l'arrêt AC 2002/0229 du 12 mai 2003 a consacrés à la question de savoir si une disposition dérogatoire (l'art. 64 du RPA de Montreux) relevait de l'art. 6 LATC (il régirait les dérogations dont les conditions sont expressément prévues par les règlements communaux) ou de l'art. 85 LATC (fixant les conditions générales des dérogations prévues sans que leurs conditions soient énoncées dans le règlement communal). En effet, l'art. 23 du règlement communal d'Essertines-sur-Yverdon est loin de constituer clairement une disposition dérogatoire précise qui imposerait à la Municipalité la délivrance de la dérogation dès que les conditions règlementaires sont remplies. Au contraire, ce n'est que parce que la municipalité, tout en admettant que le COS est de 1/5, déclare qu'une dérogation est admissible (considérant 2d ci-dessus) que le tribunal, qui doit déterminer si cette dérogation est au bénéfice d'une base légale communale, doit examiner l'éventuelle application dudit art. 23 du règlement communal comme règle dérogatoire au sens de la règle générale l'art. 85 LATC qui entre seul ici en considération. On relèvera tout d'abord que le dossier ne permet pas de distinguer en quoi consisteraient les motifs d'intérêt public ou les circonstances objectives qui, au sens de l'art. 85 LATC, justifieraient l'octroi d'une dérogation. Comme le rappelait l'arrêt AC 2002/0229 déjà cité, l'ancienne teneur de l'art. 85 al. 1 LATC retenait, parmi les circonstances de nature à justifier l'octroi d'une dérogation, la topographie, la forme des parcelles et l'intégration des constructions, mais aucun élément de cette nature n'est invoqué en l'espèce. Certes, on peut aussi considérer que l'art. 85 LATC doit permettre notamment de déroger aux règles dont l'observation paraît vide de sens et la violation sans portée pratique, comme c'est le cas de nombreuses règles de construction dont on ne parvient souvent pas à discerner à quel intérêt public ou privé elles correspondent . C'est dans ce sens que l'art. 85 LATC prévoit, sous la forme d'une condition négative, que la dérogation ne doit pas porter atteinte à un intérêt public ou à des intérêts prépondérants de tiers. En l'espèce cependant, la dérogation litigieuse porterait précisément sur la construction d'une cage d'escalier entièrement vitrée qui permettrait une vue plongeante sur la parcelle et la villa des recourants. Bien que le respect du COS ne soit pas directement en cause, l'octroi de la dérogation, sous la forme d'un nouvel accroissement de la surface construite, entraînerait un inconvénient non négligeable pour les voisins. Dans ces conditions, compte tenu du fait que la parcelle litigieuse est déjà bâtie dans une mesure qui dépasse nettement le COS de 1/5, il y a lieu d'accorder la prépondérance à l'intérêt des voisins à ne pas être exposés aux regards plongeants provenant de la construction litigieuse. L'octroi d'une dérogation portant un préjudice sensible aux voisins ne se justifie donc pas. 5.                     Vu ce qui précède, la décision municipale attaquée ne peut pas être maintenue. Cette issue du recours dispense le tribunal d'examiner le litige sous l'angle des nuisances sonores ainsi que la question, évoquée en audience, de savoir si les exigences formulées par le SEVEN en la matière doivent être considérées comme liées au projet litigieux ou comme constitutives d'une décision d'assainissement indépendante. Se pose en revanche la question de savoir si l'annulation de la décision municipale doit s'étendre à l'ensemble des éléments mis à l'enquête en mai-juin 2002, y compris la nouvelle implantation de la piscine. Comme la question de la piscine n'a pas été évoquée en procédure par les parties, le tribunal considère qu'il n'est pas en mesure de se prononcer à ce sujet. Par conséquent, au lieu de prononcer l'annulation de la décision municipale, il y a lieu de renvoyer le dossier à la municipalité pour qu'elle puisse le cas échéant statuer à nouveau sur la seule question de la nouvelle implantation de la piscine. 6.                     S'agissant des frais et des dépens, l'art. 55 LJPA a la teneur suivante : "L'arrêt règle le sort des frais et dépens, qui sont en principe supportés par la ou les parties qui succombent. Le tribunal peut mettre un émolument à la charge des commune et leur allouer des dépens. Lorsque l'équité l'exige, le tribunal peut répartir les frais entre les parties et compenser les dépens, ou laisser tout ou partie des frais à la charge de l'Etat." On rappellera tout d'abord que par "frais" au sens de l'art. 55 LJPA, il faut entendre l'émolument judiciaire prélevé par l'Etat pour l'activité du tribunal. Quant aux dépens, il s'agit de l'indemnité accordée à un plaideur pour compenser (partiellement en général) le préjudice économique correspondant aux frais engendrés par la procédure. En l'espèce, l'objet du litige est la décision municipale du 2 juillet 2002, qui est annulée par le présent arrêt. C'est ainsi la commune qui " succombe " au sens de l'art. 55 al. 1 LJPA. Il y a donc lieu de mettre un émolument à la charge de la commune, comme le prévoit expressément l'art. 55 al. 2 LJPA dans sa teneur introduite par la loi du 26 février 1996, qui a mis fin sur ce point à la jurisprudence antérieure - c'est du moins ce qu'expose l'exposé des motifs du Conseil d'Etat relatif à cette modification - selon laquelle les communes n'avaient pas à supporter les frais de procédure lorsqu'un recours contre une de leurs décisions était admis (BGC février 1996 p. 4491). Il doit en aller de même pour ce qui concerne les dépens qui, doivent être mis à la charge de la commune également, en faveur des recourants qui ont consulté un mandataire professionnel (et donc rémunéré) pour contester avec succès la décision municipale. Il est vrai que selon une jurisprudence du Tribunal administratif publiée en 1994 (arrêt RE 1993/0030 du 11 novembre 1993, RDAF 1994 p. 323),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Cet arrêt ne fournit aucune justification de la solution adoptée pour ce qui concerne les frais et il y a lieu de s'en tenir à la solution qui résulte de la modification ultérieure de l'art. 55 al. 2 LJPA, comme indiqué ci-dessus. Pour ce qui concerne les dépens, l'arrêt RE 1993/0030 n'est pas motivé non plus, si ce n'est par la référence à un représentant de la doctrine qui expose que cette solution se justifie parce que dans les procédures à plusieurs parties, ce sont en règle générale deux particuliers qui se font face, dans la même situation et configuration d'intérêts que dans un procès civil, si bien que la solution consistant à mettre le risque du procès à la charge d'un particulier répond, comme en procédure civile, à la nécessité de protéger la partie qui obtient gain de cause contre des procès injustifiés (Martin Bernet, Die Parteientschädigung in der schweizerischen Verwaltungsrechtspflege, n. 229 ss p. 131 s.; comme son titre l'indique, cet ouvrage ne concerne que la question des dépens). La motivation adoptée par l'auteur précité est curieuse car la nécessité de protéger la partie qui obtient gain de cause contre des procès injustifiés impose que cette partie-là soit indemnisée mais on en peut encore rien en tirer sur la question de savoir qui doit payer l'indemnité en question. En outre, on peut se demander si cette solution est réellement fondée en regard des obligations qui incombent à la corporation publique. En effet, l'autorité doit appliquer d'office les règles du droit public qu'elle la charge de mettre en oeuvre, si bien que l'analogie avec le procès civil qui oppose deux particuliers placés sur pied d'égalité semble peu justifiée. Il semble au contraire que sauf circonstances exceptionnelles, le justiciable que la loi astreint à solliciter une autorisation peut compter de bonne foi que l'autorité lui signalera - et décidera en conséquence - les obstacles juridiques auxquels s'expose sa demande. En d'autres termes, il doit pouvoir présenter sa demande à l'autorité sans avoir à craindre de l'obtenir à tort et de se le voir reprocher ensuite en procédure. Il n'y a cependant pas lieu de remettre en cause définitivement la jurisprudence rappelée ci-dessus car en l'espèce en tous les cas, force est de constater que s'il y a lieu d'indemniser (partiellement) les recourants Meyer pour les frais d'avocat engendrés par la présente procédure, c'est parce que la commune, en tant que détentrice de l'autorité (au demeurant assistée d'un service technique), a méconnu les règles applicables au calcul de la surface bâtie et a délivré l'autorisation en se référant à la pratique d'autres communes alors qu'elle ne dispose pas, elle, de dispositions communales spéciales qui auraient permis de ne pas compter certaines constructions. On ne saurait en revanche guère reprocher comme une faute au constructeur, qui est un menuisier sans formation juridique, d'avoir sollicité l'autorisation litigieuse, ceci d'autant moins qu'il pouvait, vu la délivrance du précédent permis de construire, compter de bonne foi sur une grande souplesse de la municipalité dans l'interprétation des règles sur le coefficient d'occupation du sol. Pour le même motif, le fait qu'il ait persisté en procédure de recours dans sa demande d'autorisation ne saurait engager sa responsabilité, du moins tant que la commune a elle-même conclu  au maintien de sa décision. Il y a donc lieu de mettre les dépens également à la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