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AC.2002.0030 vom 16. April 2002</w:t>
      </w:r>
    </w:p>
    <w:p>
      <w:r>
        <w:t>VD Tribunal cantonal, 2002-04-16, FR</w:t>
      </w:r>
    </w:p>
    <w:p>
      <w:r>
        <w:rPr>
          <w:b/>
        </w:rPr>
        <w:t xml:space="preserve">Quelle: </w:t>
      </w:r>
      <w:r>
        <w:t>https://mcp.opencaselaw.ch/entscheid/vd_omni_AC.2002.0030</w:t>
      </w:r>
    </w:p>
    <w:p>
      <w:r>
        <w:t>FR: VD_OMNI AC.2002.0030 du 16 avril 2002</w:t>
      </w:r>
    </w:p>
    <w:p>
      <w:r>
        <w:t>IT: VD_OMNI AC.2002.0030 del 16 aprile 2002</w:t>
      </w:r>
    </w:p>
    <w:p>
      <w:pPr>
        <w:pStyle w:val="Heading2"/>
      </w:pPr>
      <w:r>
        <w:t>Regeste</w:t>
      </w:r>
    </w:p>
    <w:p>
      <w:r>
        <w:t>MORET Philippe c/ Chéserex | L'art. 127 LATC ne permet pas à la municipalité d'ordonner à titre répressif la suspension de travaux ni la démolition d'éléments de construction dont elle envisage d'emblée qu'ils peuvent être autorisés. Au reste, la présence de tiges métalliques reliant un bandeau de maçonnerie aux murs qu'il surplombe autour de la construction, à supposer qu'elle nécessite une autorisation, ne change rien à l'esthétique ni au CUS et ne justifie pas un ordre de suspendre les travaux et de démolir les murs déjà autorisés.</w:t>
      </w:r>
    </w:p>
    <w:p>
      <w:pPr>
        <w:pStyle w:val="Heading2"/>
      </w:pPr>
      <w:r>
        <w:t>Erwägungen</w:t>
      </w:r>
    </w:p>
    <w:p>
      <w:r>
        <w:rPr>
          <w:b/>
        </w:rPr>
        <w:t>E. 16</w:t>
      </w:r>
    </w:p>
    <w:p>
      <w:r>
        <w:t>mars 1999: "Le soin de veiller à l'aspect architectural des constructions appartient en première ligne aux autorités locales qui disposent à cet égard d'un large pouvoir d'appréciation (ATF 115 Ia 118-119 consid. 3d). Cela ne vide toutefois pas le contrôle judiciaire de son sens, le tribunal devant être à même de vérifier si l'autorité intimée s'est fondée sur des critères pertinents et si l'application de ceux-ci à la situation concrète est correcte (arrêt AC 96/0160 du 22 avril 1997 et les références citées). Dans ce cadre, l'autorité doit notamment veiller à ne pas appliquer la clause d'esthétique de telle sorte que cela viderait pratiquement de sa substance la réglementation de la zone en vigueur (ATF 114 Ia 345 consid. 4b; RDAF 1996 p. 103 consid. 3b et les références citées). Certes, un projet peut être interdit sur la base de l'art. 86 LATC quand bien même il satisferait par ailleurs à toutes les dispositions cantonales et communales en matière de constructions. Toutefois, lorsque la réglementation applicable prévoit que des constructions d'un certain volume peuvent être édifiées, une interdiction de construire fondée sur l'art. 86 LATC, en raison du contraste formé par le volume du bâtiment projeté avec les constructions existantes, ne peut se justifier que par un intérêt public prépondérant. Il faut alors que l'utilisation des possibilités de construire réglementaires apparaisse déraisonnable et irrationnelle (ATF 115 Ia 114; 385; 114 Ia 345; 101 Ia 233 ss.). D'autre part l'examen de l'esthétique interviendra sur la base de critères objectifs généralement reçus et sans sacrifier à un goût ou à un sens esthétique particulièrement aigu, de manière que le poids de la subjectivité, inévitable dans toute appréciation, n'influe que dans les limites de principe éprouvé et par référence à des notions communément admises (RDAF 1976 p. 268; TA, arrêt AC 95/268 du 1er mars 1996; AC 93/257 du 18 mai 1994; AC 93/240 du 19 avril 1994). Une interdiction de construire fondée sur l'art. 86 LATC et ses dispositions d'application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101 Ia 223 consid. 6; arrêts AC 95/0137 du 11 janvier 1996, AC 95/0235 du 22 janvier 1996)". En l'espèce, il ressort clairement de l'inspection locale effectuée par le tribunal que le quartier dans lequel prendrait place le projet ne présente pas d'homogénéité dans les constructions existantes, ni d'harmonie particulière qui justifierait une protection spéciale. Les photographies des bâtiments voisins produites avec le recours le montrent également. La vue sur le quartier de villa ne peut donc pas être considérée comme un site qu'il s'agirait de protéger. Quant à la question de savoir si le projet présente un "aspect architectural satisfaisant", elle est délicate mais il faut rappeler que selon la jurisprudence du Tribunal fédéral (ATF 97 I 642), l'étendue de la base légale que constitue l'art. 57 LCAT (auquel correspond l'actuel art. 86 LATC) et le large éventail des possibilités d'intervention des pouvoirs publics ne peuvent justifier à priori n'importe quelle mesure: une base légale large exige en effet que l'on se montre particulièrement rigoureux dans la phase successive de la pesée des intérêts en présence et dans l'examen de la proportionnalité de la limitation par rapport au but poursuivi et à l'objet de la protection. Quoiqu'il en soit, on peut se dispenser d'examiner la question plus avant, dès lors que, pour des motifs relevant du respect du principe de l'égalité de traitement, la municipalité ne saurait refuser le permis de construire au recourant en invoquant la clause d'esthétique, alors qu'elle a accordé le permis de construire aux deux autres projets décrits précédemment: en effet, si la forme de la villa Flückiger est un peu moins inhabituelle que celle des villas Moret et Küpper, les trois projets (qui prendront place dans le même quartier de villas, à peu de distance les uns des autres) présentent des dimensions et des caractéristiques architecturales identiques (bandeau, murs décoratifs dans les angles) qui commandent de ne pas les apprécier différemment. Le fait que, contrairement au projet litigieux, les deux projets subséquents n'aient pas suscité d'opposition lors de la mise à l'enquête ne saurait en aucun cas justifier une telle inégalité de traitement. 5.    Le garage situé à l'est de la villa projetée, non critiqué dans la décision attaquée du 1er mars 2000, est mis en cause dans la réponse au recours déposée par la commune le 19 avril 2000, qui fait valoir que cette construction dépasse la superficie maximale de 40 m² que l'art. 5.5 du règlement communal assigne aux dépendances. D'après les explications fournies en audience, ce grief vise le réduit ouvert qui occupe la face sud de cette construction qui, si on y inclus la surface de ce réduit, dépasserait effectivement 40 m². On trouverait de bons motifs de considérer que le maximum de 40 m² ne vise que les surfaces fermées : l'art. 5.6 du règlement communal prévoit en effet que les parties de bâtiment non fermées (marquises, balcons, terrasses, etc.) peuvent empiéter sur les espaces non constructibles de la parcelle, ce qui permettrait par analogie d'admettre un réduit ouvert accolé à une dépendance de 40 m². Or le réduit en question est non seulement ouvert à son extrémité ouest, mais encore ses murs sont ouverts à leur sommet puisqu'ils ne touchent pas l'avant-toit qui les couvre. Quoi qu'il en soit, le grief doit être rejeté pour des motifs d'égalité de traitement également. En effet, force est de constater que le garage autorisé par la commune dans le cadre du projet Flückiger (qui épuise déjà quasiment la surface maximale autorisée) prévoit également un réduit couvert présentant les mêmes caractéristiques. Cela étant, l'autorité intimée ne saurait admettre le garage du projet Flückiger, alors qu'elle refuse celui présenté par le recourant, sans violer le principe de l'égalité de traitement. 6.    Au vu des considérants qui précèdent, le recours doit être admis et la décision attaquée être réformée en ce sens que le permis de construire est délivré au recourant. Il appartiendra à la municipalité d'y statuer sur la question de la couleur des tuiles ou de renvoyer à une décision ultérieure selon la pratique invoquée par le recourant, qui s'est d'ailleurs déclaré prêt à modifier son projet sur ce point. Conformément à l'art. 55 LJPA, la commune qui succombe supportera les frais de procédure et versera des dépens au recourant, qui a procédé avec le concours d'un mandataire rémunéré.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