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AC.2002.0006 vom 27. Juni 2003</w:t>
      </w:r>
    </w:p>
    <w:p>
      <w:r>
        <w:t>VD Tribunal cantonal, 2003-06-27, FR</w:t>
      </w:r>
    </w:p>
    <w:p>
      <w:r>
        <w:rPr>
          <w:b/>
        </w:rPr>
        <w:t xml:space="preserve">Quelle: </w:t>
      </w:r>
      <w:r>
        <w:t>https://mcp.opencaselaw.ch/entscheid/vd_omni_AC.2002.0006</w:t>
      </w:r>
    </w:p>
    <w:p>
      <w:r>
        <w:t>FR: VD_OMNI AC.2002.0006 du 27 juin 2003</w:t>
      </w:r>
    </w:p>
    <w:p>
      <w:r>
        <w:t>IT: VD_OMNI AC.2002.0006 del 27 giugno 2003</w:t>
      </w:r>
    </w:p>
    <w:p>
      <w:pPr>
        <w:pStyle w:val="Heading2"/>
      </w:pPr>
      <w:r>
        <w:t>Regeste</w:t>
      </w:r>
    </w:p>
    <w:p>
      <w:r>
        <w:t>Gravière de la Claie-aux-Moines SA c/Service des routes/Savigny/Association de quartier des Méguettes et crts | Hors des cas où il doit délivrer une autorisation spéciale (art. 120 LATC), le Service des routes n'est pas habilité à subordonner un projet de construction ou d'installation à la réalisation préalable d'un aménagement routier. S'il estime que le réseau routier n'est pas adapté au projet, il n'a que la faculté de former une opposition, sur laquelle il appartient à la municipalité de statuer (consid. 1 et 2).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et 55 LJPA, les frais de procédure seront laissés à la charge de l'Etat. GCM SA, qui a procédé par l'intermédiaire d'un avocat et obtient gain de cause, a en outre droit à des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