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AC.2001.0207 vom 29. Mai 2002</w:t>
      </w:r>
    </w:p>
    <w:p>
      <w:r>
        <w:t>VD Tribunal cantonal, 2002-05-29, FR</w:t>
      </w:r>
    </w:p>
    <w:p>
      <w:r>
        <w:rPr>
          <w:b/>
        </w:rPr>
        <w:t xml:space="preserve">Quelle: </w:t>
      </w:r>
      <w:r>
        <w:t>https://mcp.opencaselaw.ch/entscheid/vd_omni_AC.2001.0207</w:t>
      </w:r>
    </w:p>
    <w:p>
      <w:r>
        <w:t>FR: VD_OMNI AC.2001.0207 du 29 mai 2002</w:t>
      </w:r>
    </w:p>
    <w:p>
      <w:r>
        <w:t>IT: VD_OMNI AC.2001.0207 del 29 maggio 2002</w:t>
      </w:r>
    </w:p>
    <w:p>
      <w:pPr>
        <w:pStyle w:val="Heading2"/>
      </w:pPr>
      <w:r>
        <w:t>Regeste</w:t>
      </w:r>
    </w:p>
    <w:p>
      <w:r>
        <w:t>COHANNIER/CORNUAU, Municipalité de Bassins | Rappel de la jurisprudence sur les conditions permettant de déroger à une règle précise du RPE. Conditions pas admises en l'espèce s'agissant de la surface minimum d'une parcelle constructible fixée impérativement à 1500 m2.</w:t>
      </w:r>
    </w:p>
    <w:p>
      <w:pPr>
        <w:pStyle w:val="Heading2"/>
      </w:pPr>
      <w:r>
        <w:t>Erwägungen</w:t>
      </w:r>
    </w:p>
    <w:p>
      <w:r>
        <w:rPr>
          <w:b/>
        </w:rPr>
        <w:t>E. 19</w:t>
      </w:r>
    </w:p>
    <w:p>
      <w:r>
        <w:t>LAT, 104 al. 3 LATC), au nombre de places de parc et à leur emplacement (art. 39 RATC) ainsi qu'à la question de l'abattage des arbres, laquelle doit faire l'objet d'une procédure d'autorisation distincte fondée sur la LPNMS, voire de la LVFo. b) Le recours est admis aux frais de la constructrice et de la commune, lesquelles supporteront un émolument d'arrêt fixé au montant de 1'500 francs s'agissant de Monique Cornuau et de 1'000 francs s'agissant de la commune. En outre, le recourant obtenant gain de cause avec l'aide d'un mandataire professionnel, il a droit à l'allocation d'une indemnité de dépens fixée au montant de 2'000 francs, qu'il y a lieu de partager par moitié entre la constructrice et la commune, débitrices du montant de 1'000 francs chacune.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