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AC.2000.0141 vom 21. November 2001</w:t>
      </w:r>
    </w:p>
    <w:p>
      <w:r>
        <w:t>VD Tribunal cantonal, 2001-11-21, FR</w:t>
      </w:r>
    </w:p>
    <w:p>
      <w:r>
        <w:rPr>
          <w:b/>
        </w:rPr>
        <w:t xml:space="preserve">Quelle: </w:t>
      </w:r>
      <w:r>
        <w:t>https://mcp.opencaselaw.ch/entscheid/vd_omni_AC.2000.0141</w:t>
      </w:r>
    </w:p>
    <w:p>
      <w:r>
        <w:t>FR: VD_OMNI AC.2000.0141 du 21 novembre 2001</w:t>
      </w:r>
    </w:p>
    <w:p>
      <w:r>
        <w:t>IT: VD_OMNI AC.2000.0141 del 21 novembre 2001</w:t>
      </w:r>
    </w:p>
    <w:p>
      <w:pPr>
        <w:pStyle w:val="Heading2"/>
      </w:pPr>
      <w:r>
        <w:t>Regeste</w:t>
      </w:r>
    </w:p>
    <w:p>
      <w:r>
        <w:t>AUF DER MAUR Catherine et crts c/Mont-sur-Rolle/SEVEN | Dans les secteurs exposés au bruit, il suffit d'exiger le respect des VLI pour une seule des fenêtres des locaux à usage sensible au bruit (in casu une verrière en toiture assurant l'aération de la pièce).</w:t>
      </w:r>
    </w:p>
    <w:p>
      <w:pPr>
        <w:pStyle w:val="Heading2"/>
      </w:pPr>
      <w:r>
        <w:t>Erwägungen</w:t>
      </w:r>
    </w:p>
    <w:p>
      <w:r>
        <w:rPr>
          <w:b/>
        </w:rPr>
        <w:t>E. 7</w:t>
      </w:r>
    </w:p>
    <w:p>
      <w:r>
        <w:t>m, sur une longueur de 26 m 50, et, à l'est, de 3 m 50 à 6 m environ, sur une longueur de 23 m 60. Il est difficile, sur la base des plans mis à l'enquête, de se faire une idée précise de l'impact visuel que produiraient ces constructions, en plus de celui des bâtiments eux-mêmes et des terrasses, plus modestes, qui seraient aménagées au sud. Il est cependant indéniable que cet impact serait très important, même s'il est possible de le diminuer en réduisant la hauteur apparente des murs par des remblais. La configuration des lieux serait, quoi qu'il en soit, profondément modifiée, et les griefs des recourants quant au caractère inesthétique et au défaut d'intégration dans le quartier de ces murs de clôture massifs n'apparaissent de loin pas dépourvus de fondement. Dans ces conditions la municipalité devait, sinon refuser purement et simplement le permis d'implantation, tout au moins exiger de la société constructrice des informations plus détaillées sur l'aspect architectural et l'intégration du projet dans le voisinage. 5.                     Les deux bâtiments projetés, comprenant chacun six unités d'habitation, respectent les dimensions prescrites par le PPA pour la zone de faible densité 3 : leur plus grande longueur n'excède pas 30 m ni leur hauteur au faîte 10 m 50 (v. art. 4 let. b et e RPPA). Et c'est à tort que les recourants soutiennent que le nombre de niveaux prévus sous la corniche, rez-de-chaussée compris, est supérieur à deux. Le fait que l'on ait pris soin de préciser " rez-de-chaussée compris ", indique a contrario que le législateur n'envisageait pas de prendre en compte les sous-sols. En outre, il a déjà été jugé qu'une disposition semblable à l'art. 4 let. e RPPA ne vise que le nombre de niveaux habitables, ce que confirme la précision concernant l'habitabilité des combles (v. prononcés de la Commission cantonale de recours en matière de constructions no 7058 du 16 octobre 1991 et no 5218 du 6 avril 1987). Le projet présente bien deux niveaux habitables sous la corniche, les demi-niveaux qu'il est prévu d'affecter à des caves, en dessous du niveau du terrain naturel, n'entrant pas en considération. 6.                     C'est également à tort que les recourants prétendent que la piscine est un ouvrage assimilable à un bâtiment et qu'à ce titre elle ne respecte pas l'art. 4 let. c RPPA, qui exige une distance minimum de 6 m entre bâtiments sis sur la même propriété. S'agissant de la distance que les piscines doivent respecter avec la limite de la propriété voisine, l'art. 64 RPZ comporte une règle particulière, dérogeant aux règles prévoyant une distance supérieure à 3 m, tels les art. 21, 29 et 41 RPZ ou l'art. 4 let. c RPPA. Une distance minimum entre piscine et bâtiment sis sur la même propriété n'est pas prescrite, et il n'y a pas lieu de voir là une lacune qu'il conviendrait de combler suivant la règle selon laquelle la distance entre bâtiments sis sur une même parcelle doit correspondre, sauf prescription réglementaire communale spéciale, au double de la distance prévue entre un bâtiment et la limite de propriété voisine : une telle règle, dont le but est évident s'agissant de bâtiments (v. à ce sujet Jean-Luc Marti, Distances, coefficients et volumétrie des constructions en droit vaudois, Lausanne 1988, p. 101 ss), n'aurait aucun sens si elle devait s'appliquer entre piscine et bâtiment. En revanche l'ouvrage désigné comme "local technique dépôt" reliant les deux bâtiments principaux, contrevient à l'obligation de laisser non bâtie une distance minimum de 6 m entre bâtiments sis sur la même propriété (art. 4 let. c RPPA). D'une longueur d'environ 13 m 50 et d'une hauteur de 3 m par rapport au terrain aménagé en façade sud, il ne s'agirait ni d'une dépendance souterraine au sens de l'art. 63 RPZ ni d'une dépendance de peu d'importance au sens de l'art. 39 RATC. Sa construction dans l'espace réglementaire entre bâtiments est par conséquent prohibée. 7.                     Dans la partie sud des parcelles nos 383 et 382, une bande de terrain d'environ 7 m de large, en bordure du chemin des Coccinelles, est classée par le PPA en " Zone pour des espaces collectifs ". Le long de cette bande de terrain sont prévus, sous la rubrique " Directives d'aménagement ", un alignement d'arbres ainsi qu'une liaison piétonne. L'art. 10 RPPA précise que les terrains classés dans la zone pour des espaces collectifs " constituent l'espace collectif du quartier auquel ils sont intégrés " et que " leur traitement sera différencié en fonction du rôle à jouer à l'intérieur du périmètre concerné : A l'intérieur de la zone de faible densité 3, il s'agit d'aménager des petits parcs permettant la détente et la rencontre sans traitement particulier ". Au règlement du PPA sont annexées des " Directives d'aménagement " qui " fixent des principes impératifs (accès, implantation des constructions, affectation des espaces libres) mais dont la localisation définitive est à préciser lors de l'élaboration du projet " (art. 1er al. 2 RPPA). Pour les parcelles 382 et 383, ces directives sont libellées de la façon suivante : "Compte tenu de la forme allongée des parcelles, un mail linéaire peut contribuer à l'amélioration des équipements du quartier. L'accès routier ne serait pas élargi, par contre, le mail arborisé d'environ 7,00 m. doit être aménagé par les constructeurs et rendu à l'utilisation du public. Sur la route principale, une modification de l'assiette de la bande de roulement doit permettre la création de trottoirs et d'un arrêt protégé pour le bus scolaire. La protection anti-bruit ne peut guère se faire que sur les terrains CFF." Ces directives sont complétées par un " plan illustration " à l'échelle 1:1000 qui figure, sur une largeur de 7 m en bordure du chemin des Coccinelles, un " espace collectif ", sur lequel est implantée une rangée d'arbres et que longe une " liaison piétonne ". Contrairement à ce que suggère la réponse municipale, cette arborisation, de même que le cheminement piétonnier, ne sont pas dessinés " à titre indicatif ", mais font partie des directives que l'art. 1er al. 2 RPPA rend impératives. Il résulte ainsi clairement de cette réglementation que, sur une largeur de 7 m le long du chemin des Coccinelles, la partie sud de la parcelle no 383 n'est pas affectée à la construction, mais doit être arborisée et ouverte au public pour servir à la fois de liaison piétonne rejoignant le trottoir qu'il est prévu d'aménager à l'est de la parcelle - le long de la route de l'Hôpital - et de petit parc " permettant la détente et la rencontre " (v. art.</w:t>
      </w:r>
    </w:p>
    <w:p>
      <w:r>
        <w:rPr>
          <w:b/>
        </w:rPr>
        <w:t>E. 10</w:t>
      </w:r>
    </w:p>
    <w:p>
      <w:r>
        <w:t>let. b RPPA). Le projet mis à l'enquête ne satisfait pas à ces exigences. Sans doute prévoit-il en bordure du chemin des Coccinelles une rangée de sept arbres, plantés à 13 m 50 d'intervalle et dont les couronnes devraient atteindre 7 m de diamètre. Les aménagements prévus au sol ne permettent toutefois pas de considérer cette lignée d'arbres comme un mail, en d'autres termes comme une allée ou une promenade destinée au public et à vocation de zone de détente et de rencontre. Dans la bande de 7  m colloquée "zone pour des espaces collectifs", le projet prévoit en effet successivement un trottoir d'une largeur de 1 m 50, un espace carrossable d'une largeur de 3 m 50 puis une rangée de trente places de stationnement, perpendiculaires à la chaussée. La constructrice ne satisfait en outre pas entièrement à son obligation d'aménager un mail arborisé le long du chemin des Coccinelles en ne prévoyant la réalisation que d'un tronçon de ce dernier, au droit des constructions projetées, sans liaison avec la route de l'Hôpital. En se contentant de cet aménagement partiel, la municipalité court le risque qu'il ne soit jamais achevé, au cas où les projets de construction ultérieurs dans les parties est et ouest de la parcelle no 383 ne verraient pas le jour, si bien que le mail arborisé prévu par le plan se réduirait à une promenade de 80 m entre deux terrains en nature de vignes. 8.                     Les recourants font en revanche fausse route lorsqu'ils prétendent que l'autorisation préalable d'implantation devrait être subordonnée à la réalisation des trottoirs et au déplacement de la chaussée que prévoit le PPA à la route de l'Hôpital, entre le passage sous-voie et l'intersection du chemin des Coccinelles. Contrairement à la réalisation du mail, que la réglementation impose au constructeur, cet aménagement est un équipement collectif du ressort de la commune, que celle-ci n'a pas l'obligation de réaliser immédiatement dans la mesure où l'équipement de la parcelle no 383, du point de vue des accès routiers, apparaît suffisant pour permettre des constructions du type de celles qui sont prévues. 9.                     Les recourants se trompent également lorsqu'ils prétendent tirer du " plan-illustration " complétant les directives annexées au RPPA des règles impératives quant au nombre de bâtiments admissibles sur les parcelles nos 382 et 383, leurs dimensions, leur implantation ou encore les proportions que devraient respecter différents types d'affectation du sol (construction proprement dite, prolongement des bâtiments, espace collectif, accès, trottoir, surface verte, mail arborisé). Il convient en effet de ne pas confondre les directives elles-mêmes, qui " fixent des principes impératifs " (art. 1er al. 2 RPPA) et le " plan-illustration ", destiné, comme son nom l'indique, non pas à définir des règles précises d'affectation, mais à donner un exemple de ce qui peut résulter du PPA lui-même et des directives. Le PPA ne prévoit pas de front d'implantation obligatoire ou de périmètre d'évolution dans ce secteur. Les périmètres d'implantation figurés sur le " plan-illustration " le sont, selon la légende de ce plan, " à titre indicatif ". Quant aux espaces collectifs, le seul qui soit défini par le PPA est l'espace de 7 m de large bordant le chemin des Coccinelles (mail arborisé). 10.                   Le projet mis à l'enquête était accompagné d'une étude acoustique du bureau d'ingénieurs Gilbert Monay, destinée à évaluer les immissions de bruit auxquelles les habitations projetées seraient exposées en raison de la proximité de la voie de chemin de fer, et de vérifier la conformité du projet aux prescriptions de l'ordonnance du 15 décembre 1986 sur la protection contre le bruit (OPB). Cette étude conclut que les valeurs de planification pour le degré de sensibilité II, attribué à la zone de faible densité 3, seraient respectées compte tenu des mesures de construction prévues, à savoir : - une aération des pièces de séjour assurée par des verrières percées dans le pan sud des toitures (du côté opposé à la voie de chemin de fer), ce qui permet de garder les fenêtres des séjours (au rez supérieur nord) fermées, - la pose sur les verrières sud de protections latérales formant écran au bruit, - la construction d'une paroi antibruit avec face absorbante du côté des voies CFF et murs de retour clôturant les jardins. Le rapport montre que le niveau Lr calculé à la fenêtre des séjours, au rez supérieur nord, s'élèverait à 61 dB(A) le jour et 52 dB(A) la nuit, soit plus que les valeurs limites d'immissions. Ce résultat n'a toutefois pas été pris en compte, étant donné la possibilité de maintenir les fenêtres fermées en aérant ces pièces par la verrière sud. Pour l'isolation de l'enveloppe du bâtiment, le rapport recommande en outre d'augmenter les valeurs R'w de 5 à 10 dB par rapport aux exigences de la norme SIA 181 - 1988. Se fondant sur l'étude acoustique susmentionnée, le SEVEN a donné son accord au projet litigieux, considérant lui aussi que, grâce aux mesures de construction prévues, les niveaux d'évaluation ne dépasseraient pas les valeurs limites d'immissions. Les recourants contestent cette conclusion, estimant qu'elle contrevient à l'art. 39 OPB qui exige, pour les bâtiments, que les immissions de bruit soient mesurées au milieu de la fenêtre ouverte des locaux à usage sensible au bruit, ce qui n'a pas été le cas en l'espèce pour les fenêtres des pièces de séjour situées au rez supérieur nord. Lorsqu'une construction nouvelle est prévue dans un secteur où les valeurs limites d'immissions sont dépassées, et qu'elle comprend des locaux à usage sensible au bruit, elle ne peut être autorisée que s'il est possible de respecter ces valeurs en disposant les locaux à usage sensible au bruit sur un côté du bâtiment moins exposé (v. art. 31 let. a OPB) ou si l'on peut prendre des mesures de construction ou d'aménagement susceptibles de protéger le bâtiment contre le bruit (let. b). Comme les immissions de bruit doivent être mesurées au milieu de la fenêtre ouverte des locaux à usage sensible au bruit (art. 39 al. 1 OPB), l'une des mesures de construction envisageable consiste à ne pas prévoir de fenêtres dans les façades où il y a lieu de craindre un dépassement des valeurs limites. Une autre solution consiste à prévoir des fenêtres à vitrage fixe, ce qui implique que l'aération du local soit assurée par une ventilation mécanique ou par une autre fenêtre ouverte sur une façade moins exposée. En pratique, les autorités se contentent donc d'exiger que les valeurs limites d'immissions soient respectées pour une seule des fenêtres, soit celle située du côté le moins bruyant (cf. Anne-Christine Favre, Restrictions en matière de constructions et d'affectation résultant de la législation sur l'environnement - la protection contre le bruit, DEP 1998, p. 400). C'est ce qu'a fait en l'occurrence le SEVEN en ne prenant en considération, pour les pièces de séjour situées au rez-de-chaussée nord, que les valeurs d'immissions évaluées au niveau des verrières percées dans le pan sud du toit et assurant l'aération de ces pièces. Cette pratique est compatible avec l'art. 39 OPB. Il en va de même de la renonciation à exiger que les fenêtres exposées au bruit soient équipées d'un vitrage fixe; une telle mesure apparaît inutilement contraignante à l'égard des futurs habitants, à qui on peut laisser le soin de décider si et quand ils voudront maintenir ces fenêtres fermées pour préserver leur tranquillité. Le recours apparaît ainsi mal fondé en tant qu'il est dirigé contre la décision du SEVEN constatant la conformité du projet aux exigences de l'OPB. 11.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Le recours étant en l'occurrence admis en tant qu'il est dirigé contre la décision municipale accordant l'autorisation préalable d'implantation et rejeté dans la mesure où il est dirigé contre la décision du SEVEN, aussi bien les recourants que la société constructrice devront prendre en charge une part de l'émolument de justice, ainsi que des dépens. Considérant toutefois que les recourants obtiennent gain de cause sur des éléments importants, susceptibles de conduire à une modification substantielle du projet, sinon à son abandon, alors qu'ils perdent sur un point relativement secondaire s'agissant de la conformité du projet aux exigences de l'OPB, il paraît équitable de mettre l'émolument de justice, arrêté globalement à 3'000 fr., pour deux tiers à la charge de Matringe SA et pour le solde à la charge des recourants. Les dépens auxquels prétendent mutuellement les recourants et la constructrice, que le tribunal arrêtera pour chacun d'eux à 1'800 fr., peuvent leur être alloués dans la même proportion, soit 1'200 fr. en faveur des recourants et 600 fr. en faveur de Matringe SA, montants qui se compensent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