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AC.2000.0056 vom 19. Dezember 2000</w:t>
      </w:r>
    </w:p>
    <w:p>
      <w:r>
        <w:t>VD Tribunal cantonal, 2000-12-19, FR</w:t>
      </w:r>
    </w:p>
    <w:p>
      <w:r>
        <w:rPr>
          <w:b/>
        </w:rPr>
        <w:t xml:space="preserve">Quelle: </w:t>
      </w:r>
      <w:r>
        <w:t>https://mcp.opencaselaw.ch/entscheid/vd_omni_AC.2000.0056</w:t>
      </w:r>
    </w:p>
    <w:p>
      <w:r>
        <w:t>FR: VD_OMNI AC.2000.0056 du 19 décembre 2000</w:t>
      </w:r>
    </w:p>
    <w:p>
      <w:r>
        <w:t>IT: VD_OMNI AC.2000.0056 del 19 dicembre 2000</w:t>
      </w:r>
    </w:p>
    <w:p>
      <w:pPr>
        <w:pStyle w:val="Heading2"/>
      </w:pPr>
      <w:r>
        <w:t>Regeste</w:t>
      </w:r>
    </w:p>
    <w:p>
      <w:r>
        <w:t>NEYROUD Jean-François c/Chardonne | N'est pas de bonne foi le constructeur qui a mis la municipalité devant le fait accompli en transformant un couvert en un local fermé, meublé et chauffé, même si la municipalité a réagi que quelques mois après avoir eu connaissance des travaux litigieux. Proportionnalité : confirmation de la jurisprudence.</w:t>
      </w:r>
    </w:p>
    <w:p>
      <w:pPr>
        <w:pStyle w:val="Heading2"/>
      </w:pPr>
      <w:r>
        <w:t>Erwägungen</w:t>
      </w:r>
    </w:p>
    <w:p>
      <w:r>
        <w:rPr>
          <w:b/>
        </w:rPr>
        <w:t>E. 28</w:t>
      </w:r>
    </w:p>
    <w:p>
      <w:r>
        <w:t>RPE en ce sens que le mur en façade est ainsi qu'une partie de la paroi vitrée qui a été installée en façade sud sont à moins de 6 mètres de la propriété voisine. Le recourant conteste en revanche toute violation des art. 27 et 30 RPE: il fait valoir, en substance, que la violation de ces dispositions résulte de l'apparition du couvert défini par les travaux autorisés en 1991 et que les travaux qui ont été effectués par la suite n'ont impliqué aucune modification ou aggravation à cet égard. c) aa) L'ordre non contigu, imposé en l'espèce par l'art. 27 al. 1 RPE, est caractérisé par des distances à observer entre bâtiments et limites de propriété et par l'implantation des bâtiments à la limite des constructions s'il existe un plan fixant la limite des constructions ou un retrait, parallèlement à celle-ci (v. Jean-Luc Marti, Distances, coefficients et volumétrie des constructions en droit vaudois, p. 39). Le but de l'ordre non contigu est notamment de placer les immeubles dans les meilleures conditions d'hygiène possible en aérant non seulement l'intérieur des propriétés, mais également la rue, et d'empêcher qu'une implantation anarchique des bâtiments ne compromette les conditions d'hygiène des immeubles voisins ou ne rompent l'équilibre entre les constructions existantes (Marti, op. cit., p. 40). bb) Selon la municipalité, les travaux incriminés portent atteinte à l'ordre non contigu. Elle relève à cet égard que la dalle-parking et la terrasse autorisées en 1991 pouvaient être assimilées à des dépendances, ce qui n'est plus le cas dès le moment où le volume situé en dessous de la dalle est transformé pour être affecté à une activité. cc) Il résulte de l'art. 39 al. 2 du règlement du 19 septembre 1986 d'application de la loi du 4 décembre 1985 sur l'aménagement du territoire et les constructions (RATC) que les municipalités sont compétentes pour autoriser des dépendances de peu d'importance dans les espaces réglementaires. Par dépendance de peu d'importance, on entend des petites constructions qui, entre autres, doivent être distinctes du bâtiment principal et sans communication avec celui-ci (ex: réduits de jardin ou garage particulier pour deux véhicules au plus). On peut se demander si, strictement, le couvert créé en 1991 est une dépendance dès lors que ce dernier communique au moyen d'une porte avec le bâtiment d'habitation principal, auquel il est accolé. S'agissant de l'examen de la réglementarité des travaux litigieux, ce point peut toutefois demeurer indécis. Il suffit en effet de constater que, en fermant totalement le couvert et en l'aménageant, le recourant a créé un local d'exploitation supplémentaire, ce qui implique à tout le moins une aggravation de l'atteinte à l'art 27 RPE. d) Il en va de même en ce qui concerne la distance minimum à la limite de la propriété voisine prévue par l'art. 28 RPE : en effet, en tant qu'elles définissent des espaces qui - abstraction faite du cas des dépendances - sont absolument inconstructibles, les dispositions régissant les distances ont une portée plus large que celles qui, comme les art. 24 et 30 RPE, ne limitent que l'emprise en plan des bâtiments (v. CCRC société S. c. Chardonne prononcé no 6792 du 19 décembre 1990). Même si le couvert défini par les travaux autorisés par la municipalité en 1991 était déjà non réglementaire, les aménagements litigieux impliquent une aggravation de l'atteinte à l'art. 28 RPE dès lors que des éléments de façade ont ét¿élevés là où toute construction est prohibée. e) La situation est différente en ce qui concerne l'art. 30 RPE, qui définit le coefficient d'occupation du sol (COS) admissible dans le secteur considéré. Le COS a pour but d'assurer une certaine proportion entre la partie construite d'une parcelle et les espaces libres de construction. En l'espèce, dès lors que les aménagements litigieux n'impliquent pas d'extension en plan du volume préexistant, on ne saurait conclure, comme le fait la municipalité, à une aggravation de l'atteinte à l'art. 30 RPE (v. prononcé CCRC no 6792 mentionné ci-dessus p. 9). f) En résumé, même si l'on retient que le couvert défini par les aménagements autorisés par la municipalité le 31 juillet 1991 n'était déjà pas réglementaire, les travaux incriminés impliquent en tous les cas une aggravation de l'atteinte aux art. 27 al. 1 RPE et 28 al. 1 RPE. 3.                     De manière générale, le recourant fait valoir que les travaux incriminés peuvent subsister au bénéfice de l'art. 80 de la loi du 4 décembre 1985 sur l'aménagement du territoire et les constructions (LATC). Cette disposition prévoit notamment que les bâtiments non conformes à certaines règles de la zone à bâtir entrées en force postérieurement peuvent être transformés dans les limites des volumes existants lorsque les travaux en cause n'aggravent pas l'atteinte à la réglementation en vigueur où les inconvénients qui en résultent pour le voisinage. On l'a vu, les travaux litigieux impliquent une atteinte aux art. 27 al. 1 et 28 al. 1 RPE ou, en tous les cas, aggravent l'atteinte existante: pour ce motif déjà, ils ne sont pas conformes à l'art 80 LATC. Par surabondance, on relèvera que cette disposition ne concerne que des constructions dont l'irrégularité est due à un changement postérieur de la réglementation, à l'exclusion de celles d'emblée non-réglementaires (RDAF 1992 p. 229): dans la mesure où la non réglementarité du couvert litigieux ne tient pas à de nouvelles dispositions adoptées postérieurement à sa construction, l'art 80 LATC ne s'applique pas dans le cas d'espèce. 4.                     Le recourant invoque une violation du principe de la bonne foi en relevant que la municipalité connaissait depuis plusieurs années les travaux effectués dans le local litigieux. Il relève également que la violation du règlement communal est mineure et il estime par conséquent que l'ordre de remise en état viole le principe de la proportionnalité. a) aa)En vertu des art. 105 al. 1 et 130 al. 2 LATC, un ouvrage non conforme aux prescriptions légales ou réglementaires peut, à certaines conditions, faire l'objet d'un ordre de démolition; étant précisé que, sous ce terme général, il faut entendre non seulement la démolition proprement dite des travaux effectués sans droit, mais aussi la remise en état des lieux. L'existence d'une infraction n'impose en effet pas absolument et toujours la démolition immédiate, que l'autorité n'ordonne qu'en usant de son pouvoir d'appréciation, selon les circonstances de chaque cas eu égard notamment aux principes de la proportionnalité des mesures administratives et de la bonne foi (TA, arrêt AC 91/0217 du 26 novembre 1992). bb) La configuration typique dans laquelle s'applique le principe de la bonne foi est celle des renseignements inexacts fournis par l'administration qui, à certaines conditions, lient cette dernière malgré un texte légal contraire, a fortiori si elle donne des assurances : elle sera alors tenue de s'y conformer ou de réparer de quelque autre manière le préjudice subi par l'administré qui s'est fié à ce qu'elle lui a dit (v. Pierre Moor, Droit administratif, vol. I p. 430). En l'espèce, on ne se trouve pas dans cette hypothèse dès lors que les aménagements litigieux n'ont pas été réalisés sur la base de renseignements ou d'assurances donnés préalablement au recourant par la municipalité. cc) Plus largement, le principe de la bonne foi s'applique lorsque l'administration crée une apparence de droit sur laquelle l'administré se fonde pour adopter un comportement qu'il considère dès lors comme conforme au droit : elle est liée par les conséquences qui peuvent être raisonnablement déduites de son activité ou de sa passivité (théorie de l'"acte concluant"). Il ne suffit toutefois pas pour cela que, pendant un certain temps, l'autorité n'intervienne pas à l'encontre d'un état de fait illégal, et encore moins que, par ignorance ou faute d'actualité du problème, elle soit en quelque sorte restée neutre (Moor, op. cit., p. 432). Selon la jurisprudence du Tribunal fédéral, le droit d'ordonner la démolition d'une construction (ou d'une partie de construction) est ainsi soumis à un délai de péremption de trente ans. Sont réservés les cas où l'autorité intervient certes avant l'expiration du délai de trente ans, mais où elle avait toléré pendant des années des constructions ou parties de construction non conformes, alors qu'elle les connaissait ou aurait pu les connaître en faisant preuve de l'attention commandée par les circonstances (v. RO 107 Ia 121 = JT 83 I 299). Les principaux travaux d'aménagement du local litigieux (mise en place de la paroi vitrée au sud et travaux intérieurs) ont été effectués selon le recourant à fin 1996 - début 1997. La municipalité a écrit pour la première fois au recourant au mois de mars 1998 pour l'informer du problème soulevé par la fermeture du couvert: on ne se trouve manifestement pas dans une hypothèse dans laquelle la municipalité aurait toléré "pendant des années" une construction non réglementaire. dd) En résumé, le recourant, qui a sciemment procédé aux aménagements litigieux sans en informer la municipalité et sans déposer de demande de permis de construire, n'est pas fondé à se prévaloir du principe de la bonne foi. b) aa) L'ordre de démolir une construction édifiée sans permis et pour laquelle une autorisation ne pouvait pas être accordée n'est en principe pas contraire au principe de la proportionnalité. Certes, l'autorité doit renoncer à une telle mesure lorsque certaines conditions sont remplies,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qu'aux inconvénients qui en découlent pour le constructeur (ATF 108 Ia 218). Le Tribunal administratif se montre strict à cet égard et confirme en principe les ordres de remise en état (TA, arrêt AC 99/0007 du 28 avril 1999 et références citées). bb) En l'espèce, on a vu que le recourant a mis la municipalité devant le fait accompli en transformant progressivement le simple couvert résultant des travaux autorisés en 1991 en un local fermé, meublé et chauffé. On a vu également que les travaux litigieux impliquent en tous les cas une aggravation des violations des dispositions réglementaires sur les distances aux limites et sur l'ordre non contigu, violations qui ne peuvent être qualifiées de mineures. La municipalité a d'ailleurs indiqué qu'elle n'aurait pas autorisé ces travaux si la demande avait été faite en 1991. Au surplus, la remise en état des lieux, qui consiste essentiellement dans la suppression de la paroi vitrée et des aménagements intérieurs, devrait pouvoir être effectuée sans frais excessifs. cc) Sur la base de l'ensemble des éléments à prendre en considération, le résultat de la pesée d'intérêts à laquelle a procédé la municipalité n'est pas critiquable. En tous les cas, cette dernière n'a pas excédé ou abusé de son pouvoir d'appréciation au sens de l'art. 36 LJPA en n'admettant pas les travaux litigieux et en ordonnant la remise en état des lieux. 5.                     Il résulte de ce qui précède que le recours doit être rejeté. L'arrêt sera rendu aux frais du recourant; la municipalité, qui a obtenu gain de cause avec le concours d'un homme de loi, a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