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AC.2000.0012 vom 8. November 2000</w:t>
      </w:r>
    </w:p>
    <w:p>
      <w:r>
        <w:t>VD Tribunal cantonal, 2000-11-08, FR</w:t>
      </w:r>
    </w:p>
    <w:p>
      <w:r>
        <w:rPr>
          <w:b/>
        </w:rPr>
        <w:t xml:space="preserve">Quelle: </w:t>
      </w:r>
      <w:r>
        <w:t>https://mcp.opencaselaw.ch/entscheid/vd_omni_AC.2000.0012</w:t>
      </w:r>
    </w:p>
    <w:p>
      <w:r>
        <w:t>FR: VD_OMNI AC.2000.0012 du 8 novembre 2000</w:t>
      </w:r>
    </w:p>
    <w:p>
      <w:r>
        <w:t>IT: VD_OMNI AC.2000.0012 del 8 novembre 2000</w:t>
      </w:r>
    </w:p>
    <w:p>
      <w:pPr>
        <w:pStyle w:val="Heading2"/>
      </w:pPr>
      <w:r>
        <w:t>Regeste</w:t>
      </w:r>
    </w:p>
    <w:p>
      <w:r>
        <w:t>ASTORI Jean-Claude et crts c/Mauborget | Est suffisamment équipé, dans un terrain escarpé comme à Mauborget, un établissement public de 40 places (à proximité un parking public vaste mais fréquenté) situé au bord de la route cantonale, avec 5 places de parc au bord de celle-ci et 8 places en aval de la parcelle accessibles par un chemin d'améliorations foncières de 150 mètres sans place d'évitement.</w:t>
      </w:r>
    </w:p>
    <w:p>
      <w:pPr>
        <w:pStyle w:val="Heading2"/>
      </w:pPr>
      <w:r>
        <w:t>Erwägungen</w:t>
      </w:r>
    </w:p>
    <w:p>
      <w:r>
        <w:rPr>
          <w:b/>
        </w:rPr>
        <w:t>E. 33</w:t>
      </w:r>
    </w:p>
    <w:p>
      <w:r>
        <w:t>et 35. En effet, la configuration de ce débouché ne crée pas une situation qui toucherait plus la recourante que la généralité des usagers de la route cantonale qui traverse Mauborget. c)                     Pierre Bonjour, d'après les explications fournies dans la lettre des recourants du 24 mars 2000, expose qu'il est propriétaire de la parcelle 50 mitoyenne de la parcelle 49 et qu'il est signataire de la convention, ce qui lui donne un intérêt supérieur pour faire opposition puisqu'il est directement concerné. Dans leur lettre du 3 août 2000, les recourants déclarent que l'opposition de Pierre Bonjour reste maintenue tant qu'il n'aura pas l'assurance formelle qu'aucun frais liés aux transformations litigieuses ne seront à sa charge. La convention du 31 août 1995 a effectivement pour objet d'imposer des obligations à ceux des propriétaires qui l'ont signée (tous n'y sont pas parties, en particulier ni l'ancien ni l'actuel propriétaire de la parcelle 49) en relation avec l'équipement du périmètre du plan partiel d'affectation "Champ Léderrey, Canivet". On rappellera à ce sujet la teneur de l'art. 19 de la loi fédérale sur l'aménagement du territoire (LAT) et des art. 4 et 5 de la loi fédérale du 4 octobre 1974 encourageant la construction et l'accession à la propriété de logements (LCPL): " Art. 19 LAT - Equipement 1 (...) 2 Les zones à bâtir sont équipées par la collectivité intéressée dans le délai prévu par le programme d'équipement. Le droit cantonal règle la participation financière des propriétaires fonciers. 3 Si la collectivité intéressée n'équipe pas les zones à bâtir dans les délais prévus, elle doit permettre aux propriétaires fonciers d'équiper eux-mêmes leur terrain selon les plans approuvés par elle ou les autoriser à lui avancer les frais des équipements selon les dispositions du droit cantonal. Art. 4 LCPL - Définition 1 L'équipement général consiste à pourvoir une zone à bâtir des principaux éléments des installations d'équipement, en particulier des conduites d'eau et d'énergie et des canalisations d'égouts, ainsi que des routes et chemins desservant directement la zone à équiper. 2 L'équipement de raccordement relie les divers biens-fonds aux éléments principaux des installations d'équipement, y compris les routes de quartier et les canalisations publiques. Art. 5 LCPL - Obligation d'équiper 1 L'équipement général et l'équipement de raccordement des zones destinées à la construction de logements doivent être réalisés par étapes adéquates, compte tenu des besoins, dans un délai maximum de dix à quinze ans. 2 Le droit cantonal désigne les collectivités de droit public responsables de l'équipement. Il peut reporter sur les propriétaires l'obligation de procéder au raccordement; dans ce cas, il doit prévoir l'exécution subsidiaire par les collectivités de droit public. On notera au passage que l'on ne retrouve pas en droit cantonal la distinction entre l'équipement général et l'équipement de raccordement de l'art. 4 LCPL ni les conséquences qui s'y attachent quant à la responsabilité de les réaliser (art. 5 LCPL). La question qui se pose en l'espèce est de savoir si le risque de devoir participer aux frais d'équipements d'un quartier en exécution d'une convention passée avec la commune confère aux signataires de cette convention la qualité pour recourir contre un projet de construction susceptible de rendre nécessaire la réalisation de l'équipement concerné. La question est d'autant plus délicate que la participation des propriétaires aux frais d'équipements est censée être réglée par le droit cantonal (art. 19 al. 2 LAT) et non faire l'objet de conventions privées. La convention du 31 août 1995 comprend d'ailleurs nombre de dispositions particulièrement surprenantes. On peut cependant laisser ces questions ouvertes: Pierre Bonjour étant propriétaire de la parcelle 50, la qualité pour recourir doit lui être reconnue en application de la jurisprudence - certes schématique - selon laquelle le voisin possède un intérêt pratique à ce que le voisinage immédiat de son bien reste libre de construction. d)                     Le recours étant recevable au moins pour ce qui concerne l'un des recourants, il y a lieu d'entrer en matière sur les moyens communs de ceux-ci. On peut en effet considérer que Jean-Claude Astori, qui bénéficiait d'ailleurs d'une procuration durant la procédure municipale, les représente dans les écritures déposées sous sa seule signature. e)                     On ajoutera, s'agissant de l'objet du recours, que celui-ci s'étend aussi aux permis de construire délivrés le 15 juillet 2000. En effet, c'est à tort que la municipalité s'est contentée de notifier aux recourants une décision rejetant leur opposition, pour les tenir à l'écart ensuite et poursuivre la procédure avec le constructeur à leur insu. Le fait que les recourants n'aient pas déposé de recours contre la délivrance des permis de construire, le 15 juillet 2000, ne saurait leur être imputé à faute puisqu'ils n'ont pas été informés de cette délivrance, contrairement à ce qu'exige l'art. 116 LATC. Quoi qu'il en soit, les recourants ont manifesté leur volonté de contester ces permis aussitôt que le Tribunal administratif les a informés qu'ils avaient été délivrés. 3.                     Les recourants s'en prennent tout d'abord à la teneur de l'avis d'enquête publié, qu'ils qualifient de mensonger. Il est vrai que cet avis contient une description du projet élaborée à l'aide des catégories prédéterminées énumérées dans l'ancienne formule officielle de demande de permis de construire (la nouvelle formule, utilisée en l'espèce pour les places de parc, n'y recourt plus). L'utilisation de ces catégories a pour effet - comme souvent - de rendre l'annonce à peu près incompréhensible. Les recourants perdent cependant de vue que l'enquête publique n'est pas une formalité sacramentelle dont la moindre irrégularité pourrait être utilisée par les opposants pour faire échouer le projet; au contraire, la jurisprudence de la Commission de recours puis du Tribunal administratif répète constamment que l'enquête publique n'est pas une fin en soi et que les défauts dont elle peut être affectée ne jouent de rôle que si le vice invoqué a pour conséquence de gêner l'administré dans l'exercice de ses droits et qu'il en subit un préjudice (RDAF 1978 p. 332 pour les travaux autorisés sans enquête; voir dans le même sens, pour les ouvrages exécutés sans autorisation mais conformes aux prescriptions matérielles, RDAF 1979 p. 231; cette jurisprudence est aussi celle du Tribunal administratif entré en fonction depuis lors, voir AC 00/7415 du 17 février 1992, publié dans RDAF 1992 p. 488; voir en outre à titre d'exemple divers arrêts non publiés, notamment AC 98/051 du 7 septembre 1998; AC 97/212 du 30 juin 1998; AC 96/180 du 26 septembre 1996; AC 95/268 du 1er mars 1996; AC 93/292 du 22 février 1995; AC 93/034 du 29 décembre 1993, AC 92/191 du 5 mars 1993; AC 91/071 du 12 mai 1992). En l'espèce, les recourants ne prétendent pas qu'ils auraient été gênés dans l'exercice de leur droit d'être entendu. Le dossier d'enquête, qu'ils ont consulté, décrit d'ailleurs de manière complète le projet litigieux. Le grief relatif aux formalités d'enquête doit donc être rejeté. 4.                     Les recourants font en outre valoir que l'accès à l'établissement public projeté se fait à travers un chemin agricole de 2,40 m de large sans zone de rebroussement ni d'évitement. Ils invoquent le trafic induit par ce parking et le fait que le chemin débouche selon eux sans visibilité sur la route cantonale. En audience, le recourant Jean-Claude Astori a fait valoir qu'il n'est pas possible à deux véhicules de se croiser sur ce chemin. Le syndic a relevé que le chemin qui parcourt l'arrière du village en direction de l'est (il débouche derrière le Café de la Croix Fédérale) n'est pas plus large. Le recourant ayant objecté que ce chemin-là comporte des places d'évitement, le syndic a fait observer qu'il s'agit en réalité du débouché des chemins d'accès des propriétés situées le long de ce chemin. La définition de l'accès adapté à l'utilisation prévue au sens de l'art. 19 LAT fait l'objet d'une jurisprudence cantonale constante (voir par exemple AC 96/074 du 3 avril 1998) dont il résulte en substance que la loi n'impose pas des voies d'accès idéales; il faut et il suffit que, par sa construction et son aménagement, une voie de desserte soit praticable pour le trafic lié à l'utilisation du bien-fonds et n'expose pas ses usagers ni ceux des voies publiques auxquelles elle se raccorderait à des dangers excessifs. Ainsi, une voie, bien qu'étroite et sinueuse, remplit les conditions légales si elle permet à tous les véhicules usuels de gagner la ou les parcelles litigieuses en respectant les règles de prudence qu'imposent les prescriptions de la circulation routière. Autrement dit, l'accès est suffisant lorsqu'il présente des conditions de commodité et de sécurité (pente, visibilité, trafic) tenant compte des besoins des constructions projetées et cela même si, en raison de l'accroissement prévisible du trafic, la circulation devient moins aisée et exige des usagers une prudence accrue. La jurisprudence a aussi posé le principe selon lequel on ne saurait refuser un permis de construire fondé sur l'insuffisance de l'équipement lorsqu'un projet n'entraîne pas une aggravation de la situation existante (Tribunal administratif, arrêt AC 7574 du 14 février 1992; AC 91/208 du 27 avril 1992). En l'espèce, la parcelle 49 litigieuse se trouve au bord de la route cantonale, le long de laquelle seront construites cinq des places de parc prévues. On ne saurait considérer qu'elle serait insuffisamment équipée de ce point de vue. Le nombre de places exigées (10 selon la décision cantonale de l'OCPC, 12 selon la décision municipale) n'est pas contesté par les recourants. Ceux-ci critiquent en revanche l'accès aux huit places de parc prévues à l'aval de la parcelle. Sur ce point cependant, le tribunal considère que les exigences en matière d'équipement doivent être appréciées en fonction des circonstances locales, où les chemins étroits sont fréquents comme en témoigne l'exemple discuté en audience. Dans des terrains escarpés comme ceux qu'on trouve à Mauborget, un chemin d'améliorations foncières, même s'il ne comporte pas de place d'évitement sur une longueur d'environ 150 m, doit être considéré comme suffisant pour desservir les huit places de parc prévues. On observe de plus que la parcelle 49 offre sans difficulté la possibilité d'effectuer la manoeuvre de retournement pour repartir et, pour ce qui concerne l'intensité du trafic, qu'il n'y a guère plus d'une ou deux maisons au-delà de la parcelle 49, le chemin se terminant en cul-de-sac dans les champs. Quant au débouché dudit chemin sur la route cantonale, le tribunal ne peut pas suivre les recourants qui lui prêtent un caractère dangereux. André Lecoultre a d'ailleurs fait observer à juste titre durant l'inspection locale que les places de parc situées en face de ce débouché devant le café de la Croix Fédérale, disposées perpendiculairement à la chaussée et débouchant directement sur celles-ci, paraissent plus délicates à utiliser que le débouché du chemin litigieux. Pour ce qui concerne ce dernier, le tribunal constate que même en tenant compte de la présence hivernale de murs de neige au débouché de ce chemin, la visibilité est dégagée puisque la route cantonale est rectiligne sur une grande distance. Quant au débouché lui-même, il est suffisamment large pour ne pas constituer un danger même dans l'hypothèse où un véhicule, ne pouvant croiser, devrait rebrousser chemin. En effet, la largeur du débouché est importante en raison de la place disponible devant le double garage situé à cet endroit. Finalement, il ne s'agit pas là d'une situation si délicate qu'elle doive conduire à la conclusion que le chemin existant ne constituerait pas un équipement suffisant. On constate ainsi que la parcelle 49 est suffisamment équipée. Dans ces conditions, le tribunal juge qu'il n'y a pas lieu de s'écarter de l'appréciation de la municipalité selon laquelle il n'est pas nécessaire de modifier le chemin qui donne accès à la partie aval de la parcelle litigieuse. 5.                     Vu ce qui précède, le recours doit être rejeté, ce qui justifie le maintien de la décision municipale attaquée. L'arrêt sera rendu aux frais des recourants, qui n'ont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