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AC.1999.0015 vom 23. Mai 2000</w:t>
      </w:r>
    </w:p>
    <w:p>
      <w:r>
        <w:t>VD Tribunal cantonal, 2000-05-23, FR</w:t>
      </w:r>
    </w:p>
    <w:p>
      <w:r>
        <w:rPr>
          <w:b/>
        </w:rPr>
        <w:t xml:space="preserve">Quelle: </w:t>
      </w:r>
      <w:r>
        <w:t>https://mcp.opencaselaw.ch/entscheid/vd_omni_AC.1999.0015</w:t>
      </w:r>
    </w:p>
    <w:p>
      <w:r>
        <w:t>FR: VD_OMNI AC.1999.0015 du 23 mai 2000</w:t>
      </w:r>
    </w:p>
    <w:p>
      <w:r>
        <w:t>IT: VD_OMNI AC.1999.0015 del 23 maggio 2000</w:t>
      </w:r>
    </w:p>
    <w:p>
      <w:pPr>
        <w:pStyle w:val="Heading2"/>
      </w:pPr>
      <w:r>
        <w:t>Regeste</w:t>
      </w:r>
    </w:p>
    <w:p>
      <w:r>
        <w:t>GARCIA Concepcion c/Mont-sur-Lausanne | Faute d'être elle-même directement touchée, une mère n'a pas qualité pour recourir en son propre nom contre une décision concernant sa fille mineure. En outre, pas d'intérêt digne de protection à faire trancher par le juge administratif une question qui peut l'être par l'autorité tutélaire.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LJPA, un émolument de justice sera mis à la charge de la recourante. Il n'y a en revanche pas lieu d'allouer des dépens à Béatrice Estoppey et Eric et Gérard Ménétrey, lesquels se sont certes exprimés spontanément sur le recours, mais n'avaient pas été invités à le faire. On s'en tiendra ainsi à la pratique suivant laquelle des honoraires ne sont dus à titre de dépens qu'à partir du moment où le mandataire dépose de véritables actes de procédure (recours, mémoire complémentaire, réponse, etc.) ou assiste son client en audience (arrêt RE 93/0055 du 26 octobre 1994, consid. 4 in fine).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