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AC.1999.0013 vom 3. Juli 2001</w:t>
      </w:r>
    </w:p>
    <w:p>
      <w:r>
        <w:t>VD Tribunal cantonal, 2001-07-03, FR</w:t>
      </w:r>
    </w:p>
    <w:p>
      <w:r>
        <w:rPr>
          <w:b/>
        </w:rPr>
        <w:t xml:space="preserve">Quelle: </w:t>
      </w:r>
      <w:r>
        <w:t>https://mcp.opencaselaw.ch/entscheid/vd_omni_AC.1999.0013</w:t>
      </w:r>
    </w:p>
    <w:p>
      <w:r>
        <w:t>FR: VD_OMNI AC.1999.0013 du 3 juillet 2001</w:t>
      </w:r>
    </w:p>
    <w:p>
      <w:r>
        <w:t>IT: VD_OMNI AC.1999.0013 del 3 luglio 2001</w:t>
      </w:r>
    </w:p>
    <w:p>
      <w:pPr>
        <w:pStyle w:val="Heading2"/>
      </w:pPr>
      <w:r>
        <w:t>Regeste</w:t>
      </w:r>
    </w:p>
    <w:p>
      <w:r>
        <w:t>SCHAFROTH Nicole et crt c/Grandevent | Un mur de soutènement est assimilé à une dépendance et doit respecter la distance de 3 m à mesurer depuis le bord de la chaussée.</w:t>
      </w:r>
    </w:p>
    <w:p>
      <w:pPr>
        <w:pStyle w:val="Heading2"/>
      </w:pPr>
      <w:r>
        <w:t>Erwägungen</w:t>
      </w:r>
    </w:p>
    <w:p>
      <w:r>
        <w:rPr>
          <w:b/>
        </w:rPr>
        <w:t>E. 1</w:t>
      </w:r>
    </w:p>
    <w:p>
      <w:r>
        <w:t>et 3 LAT). Ces critères doivent être appréciés en fonction de caractéristiques propres de chaque cas particulier en tenant compte de l'ensemble des circonstances pour déterminer si le constructeur tente de détourner les buts des règles caractérisant l'ordre non contigu. Mais le critère de l'apparence extérieure ne devrait conserver une importance prépondérante uniquement lorsque la réglementation communale traite expressément cette question pour définir la notion de bâtiment (voir arrêts AC 96/126 du 7 novembre 1996, AC 94/288 du 1er novembre 1995, AC 96/0173 du 30 janvier 1997 et AC 99/0048 du 20 septembre 2000). c) En l'espèce, le premier projet mis à l'enquête publique en novembre 1998 présente toutes les caractéristiques de deux bâtiments distincts. La nouvelle stabulation est en effet séparée du bâtiment d'exploitation existant, sans lien fonctionnel entre les deux bâtiments. Seules les aires de circulation sont communes. En outre, le projet donne l'apparence extérieure de deux bâtiments distincts. Il s'agit donc de deux constructions sur la même propriété qui doivent respecter la double distance de 12 mètres. Or, la distance de 7 m 50 qui existe entre la nouvelle stabulation projetée et le bâtiment d'exploitation existant est insuffisante. Il convient encore de déterminer si les dispositions dérogatoires permettent de réduire cette distance. aa) L'art. 6 al. 2 de la loi cantonale du 4 décembre 1985 sur l'aménagement du territoire et les constructions (LATC) prévoit que les communes ne peuvent accorder à des particuliers des dérogations aux restrictions au droit de bâtir résultant de la loi, des règlements et des plans que dans les limites autorisées par ceux-ci. En outre, l'art. 85 LATC, dans sa teneur en vigueur jusqu'au 23 janvier 1996, disposait que dans la mesure où le règlement communal le prévoyait, la municipalité pouvait accorder des dérogations de minime importance lorsque la topographie, la forme des parcelles, les accès, l'intégration ou la conception des constructions imposent des solutions particulières et s'il n'en résulte pas d'inconvénient majeur. Cette disposition a été modifiée notamment pour supprimer la restriction résultant de la notion de minime importance (BGC novembre 1995, p. 2711 à 2713). La nouvelle version de l'art. 85 LATC adoptée le 14 novembre 1995 par le Grand Conseil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bb) Cette disposition fait partie des exceptions que l'art. 23 de la loi fédérale sur l'aménagement du territoire du 22 juin 1979 (LAT) permet aux cantons de réglementer pour les constructions situées dans les zones à bâtir. Cependant, afin de ne pas vider les plans et règlements d'affectation de leur substance, la jurisprudence et la doctrine ont posé certaines limites à l'octroi de dérogations. Tout d'abord, l'autorité n'est pas tenue d'accorder la dérogation et elle dispose d'un certain pouvoir d'appréciation (ATF 99 Ia 471 consid. 3a; André Grisel , Traité de droit administratif, vol. I p. 413). L'octroi de la dérogation doit en outre respecter les buts recherchés par la loi et il sert avant tout à éviter des solutions trop rigoureuses en présence d'une situation spéciale (ATF 107 Ia 212 ss; DFJP/OFAT , Etude relative à la loi fédérale sur l'aménagement du territoire, ad art. 23 No</w:t>
      </w:r>
    </w:p>
    <w:p>
      <w:r>
        <w:rPr>
          <w:b/>
        </w:rPr>
        <w:t>E. 6</w:t>
      </w:r>
    </w:p>
    <w:p>
      <w:r>
        <w:t>et 7 p. 278); la dérogation ne doit pas porter atteinte à des intérêts publics importants ou heurter des intérêts privés prépondérants; elle résulte d'une pesée globale d'intérêts, prenant en compte l'ensemble des circonstances ( Augustin Macheret , La dérogation en droit de la construction, règles et exceptions, séminaire du droit de la construction, Fribourg 1983). Par ailleurs,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(ATF 116 Ib 53-54 consid. 3a). cc) En l'espèce, l'art. 43 RPE permet d'accorder des dérogations lorsqu'il s'agit d'ensembles suffisamment importants et pour autant qu'elles fassent l'objet de plan d'extension partiel ou de plan de quartier, ce qui exclut toute dérogation dans le cadre de la procédure de demande de permis de construire. En outre, l'art. 6 al. 3 RPE ne permet de déroger à la règle de la distance à la limite de propriété dans la zone de village, mais seulement pour la transformation ou la reconstruction de bâtiments existants. Ainsi, aucune norme du règlement communal ne permet d'accorder une dérogation en application de l'art. 85 LATC. Le premier projet mis à l'enquête publique en 1998 ne pouvait donc être autorisé. d) En revanche, le second projet mis à l'enquête publique en juillet 1999 présente tous les éléments caractéristiques d'une seule et même construction. Tout d'abord, il existe une liaison fonctionnelle entre le rural existant et la stabulation projetée. En outre, la destination de l'agrandissement et celle de la construction existante sont identiques et font partie du même centre d'exploitation. Les dimensions de l'ouvrage projeté sont d'ailleurs comparables à celles du bâtiment existant dont l'agrandissement en assure le prolongement. L'ensemble forme un tout architectural notamment par la conception de la toiture qui est prolongée sur le nouveau corps de bâtiment depuis le bâtiment existant. Même si les matériaux des revêtements extérieurs ne sont pas identiques (éternit pour le rural existant et lambrissage en bois pour l'agrandissement), la nouvelle construction et son agrandissement forment un ensemble cohérent et peut donner à l'observateur l'impression d'un même bâtiment constituant le centre d'exploitation du constructeur. Le critère de l'apparence extérieure ne présente d'ailleurs qu'un rôle secondaire puisque la réglementation de la zone village admet sous certaines conditions les constructions en ordre contigu (art. 6 al. 2 RPE). Enfin, en ce qui concerne les objectifs du plan directeur cantonal, le territoire de la Commune de Grandevent fait partie du milieu rural (carte 1.5.1 du plan directeur cantonal) où il convient de donner la priorité à l'exercice des activités du secteur primaire et aux établissements induits par ces activités (voir objectif 1.5.J du décret du 20 mai 1987 portant adoption du plan directeur cantonal). Or, le projet n'est manifestement pas contraire à cet objectif. 3.                     Il convient encore d'examiner si le mur de soutènement prévu le long du chemin public séparant les parcelles 20 et 21 de la parcelle 94 de la recourante est conforme aux dispositions de la législative sur les routes. a) Le chemin public en question est une route communale de deuxième classe pour lequel une distance de</w:t>
      </w:r>
    </w:p>
    <w:p>
      <w:r>
        <w:rPr>
          <w:b/>
        </w:rPr>
        <w:t>E. 7</w:t>
      </w:r>
    </w:p>
    <w:p>
      <w:r>
        <w:t>mètres doit être respectée depuis l'axe de la chaussée par rapport aux fonds voisins, cette distance étant portée à 10 mètres à l'extérieur des localités (voir art. 36 al. 1 lit. c de la loi sur les routes du 10 décembre 1991, ci-après LR). L'art. 37 LR précise encore qu'à défaut de plan fixant la limite des constructions souterraines, l'autorité compétente peut autoriser les constructions souterraines ainsi que les dépendances de peu d'importance à une distance de 3 mètres au moins du bord de la chaussée, l'autorisation étant refusée lorsque la sécurité du trafic ou la stabilité de la chaussée l'exige. b) La notion de dépendances de peu d'importance est définie par l'art. 39 du règlement d'application du 16 septembre 1986 de la loi sur l'aménagement du territoire et les constructions (RATC). Selon cette disposition, on entend par dépendances de petites constructions distinctes du bâtiment principal, sans communication interne avec celui-ci, comportant un rez-de-chaussée et ne dépassant pas 3 mètres de hauteur à la corniche, mesurés depuis le terrain naturel, telles que pavillons, réduits de jardin ou garages particuliers pour deux voitures au plus (al. 2). Ces règles sont également valables pour d'autres ouvrages que des dépendances proprement dites tels que les murs de soutènement, clôtures, places de stationnement à l'air libre notamment (al. 3). c) En l'espèce, le mur de soutènement prévu à l'est de la stabulation destiné à permettre l'accès à la partie inférieure de la stabulation, assimilé à une dépense au sens de l'art. 39 RATC, se rapproche à moins de 3 m du bord de la chaussée. Comme il n'y a pas de plan spécial fixant la limite des constructions souterraines, ce mur doit respecter la distance de 3 mètres fixée par l'art. 37 al. 1 LR, mesurée depuis le bord de la chaussée. Il ressort du plan de situation déposé avec la demande de permis de construire que le mur est implanté à une distance d'environ un mètre du domaine public, qui doit être assimilé au bord de la chaussée en l'absence d'un plan de géomètre fixant l'emprise de la route. Il appartiendra au constructeur de modifier le projet sur ce point et de présenter à la municipalité un nouveau dossier de plans indiquant avec précision l'emplacement du mur de soutènement et sa distance par rapport au bord de la chaussée. Si le nouveau projet nécessite une modification de l'implantation de l'ensemble de la stabulation, le dossier devra faire l'objet d'une enquête publique complémentaire. En revanche, s'il n'entraîne pas de modifications sensibles ou seulement une réduction de la longueur de la stabulation du côté est, une telle adaptation peut être ordonnée directement par la municipalité comme condition au permis de construire en application de l'art. 117 LATC. 4.                     Il convient encore de relever que la recourante Nicole Schafroth, dans son recours formé contre la deuxième décision municipale du 15 septembre 1999, ne conteste plus le caractère agricole du village de Grandevent ni ne critique la conformité de l'évaluation des nuisances du nouveau centre d'exploitation du constructeur aux dispositions du droit fédéral de la protection de l'environnement. Elle a demandé en outre la pose des gabarits; mais cette mesure d'instruction n'est pas apparue nécessaire dès lors que le tribunal, lors des inspections locales effectuées les 25 mai 1999 et 13 juin 2000, a pu apprécier l'importance et la volumétrie des travaux litigieux par rapport au bâtiment existant. 5.                     Il résulte des considérants qui précèdent que le recours formé par Nicole Schafroth et Gérard Matthey contre la décision de la municipalité du 12 janvier 1999 levant leurs oppositions et délivrant le permis de construire à Michel Jeanmonod doit être admis et la décision attaquée annulée. En revanche, le second recours formé par Nicole Schafroth contre la décision municipale du 15 septembre 1999 n'est que très partiellement admis en ce sens que le projet doit être modifié de manière à ce que le mur de soutènement longeant le chemin public respecte la distance de 3 mètres fixée par l'art. 37 de la loi sur les routes. Au vu de ce résultat, il y a lieu de mettre les frais de justice, à la charge de la recourante Nicole Schafroth pour le recours AC 99/0164 et à charge du constructeur Michel Jeanmonod pour le dossier AC 99/0013. Les recourants Nicole Schafroth et Gérard Matthey, qui obtiennent gain de cause sur le premier recours AC 99/0013, ont droit aux dépens qu'ils ont requis, arrêtés à 1'000 francs. En ce qui concerne le second recours formé contre la décision du 15 septembre 1999 (AC 99/0164),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