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AC.1998.0132 vom 20. Juni 2000</w:t>
      </w:r>
    </w:p>
    <w:p>
      <w:r>
        <w:t>VD Tribunal cantonal, 2000-06-20, FR</w:t>
      </w:r>
    </w:p>
    <w:p>
      <w:r>
        <w:rPr>
          <w:b/>
        </w:rPr>
        <w:t xml:space="preserve">Quelle: </w:t>
      </w:r>
      <w:r>
        <w:t>https://mcp.opencaselaw.ch/entscheid/vd_omni_AC.1998.0132</w:t>
      </w:r>
    </w:p>
    <w:p>
      <w:r>
        <w:t>FR: VD_OMNI AC.1998.0132 du 20 juin 2000</w:t>
      </w:r>
    </w:p>
    <w:p>
      <w:r>
        <w:t>IT: VD_OMNI AC.1998.0132 del 20 giugno 2000</w:t>
      </w:r>
    </w:p>
    <w:p>
      <w:pPr>
        <w:pStyle w:val="Heading2"/>
      </w:pPr>
      <w:r>
        <w:t>Regeste</w:t>
      </w:r>
    </w:p>
    <w:p>
      <w:r>
        <w:t>HENCHOZ Jacques c/Rossinière | En l'espèce, le refus du permis de construire par la municipalité ne saurait être "converti" en un recours contre l'autorisation spéciale cantonale (cons. 2). En outre, le refus, basé sur les nuisances olfactives du projet, n'est pas fondé, ces aspects ne relevant pas des compétences communales.</w:t>
      </w:r>
    </w:p>
    <w:p>
      <w:pPr>
        <w:pStyle w:val="Heading2"/>
      </w:pPr>
      <w:r>
        <w:t>Erwägungen</w:t>
      </w:r>
    </w:p>
    <w:p>
      <w:r>
        <w:rPr>
          <w:b/>
        </w:rPr>
        <w:t>E. 8</w:t>
      </w:r>
    </w:p>
    <w:p>
      <w:r>
        <w:t>novembre 1989 d'application de la loi fédérale du 7 octobre 1983 sur la protection de l'environnement; RSV 6.8 A). En d'autres termes, faute de recours contre la décision cantonale précitée, le Tribunal administratif ne saurait en vérifier - en quelque sorte d'office - le bien-fondé en droit; cela vaut notamment pour la conformité du projet à la législation sur la protection de l'environnement ou à celle relative à la protection des eaux (la décision du Service des eaux, sols et assainissement, incluse elle aussi dans la synthèse CAMAC, n'a pas été contestée). b) Comme on l'a vu plus haut, le tribunal n'a pas non plus à porter son examen sur la décision d'assainissement de la porcherie sise dans le bâtiment ECA no 182; cette décision est en effet entrée en force. c) On pourrait tout au plus se demander si la décision municipale du 8 juillet 1998 peut être considérée comme un recours dirigé contre la décision du SAT du 2 juin précédent. En d'autres termes, la municipalité, par sa décision, manifesterait qu'elle entend contester la conformité de la décision du SAT à la législation fédérale sur la protection de l'environnement. Cette approche paraît avoir été suivie dans un arrêt du Tribunal fédéral du 8 avril 1995 (1A.179 et 181/1996, lequel concernait un projet de construction d'une porcherie sur le territoire de la Commune de Grandson, consid. 4; voir également TA, arrêt du 25 novembre 1997, AC 97/0012, consid. 2). Ces précédents (notamment celui que tranche l'ATF précité) avaient trait à des situations particulières; ainsi, le Tribunal fédéral a-t-il fondé sa position sur le principe de la protection de la bonne foi, laquelle ne paraît nullement entrer en considération en l'occurrence. Cela étant, le Tribunal administratif considère que l'autorité communale doit prendre garde à l'attitude qu'elle entend adopter; elle doit en particulier opérer un choix entre le dépôt d'un recours, pour contester la décision cantonale (pour autant qu'elle ait qualité pour recourir, ce qui paraît plausible ici s'agissant d'une construction hors des zones à bâtir : art. 34 al. 2 LAT; v. aussi art. 57 LPE), ou le prononcé d'une décision aux fins de trancher les questions relevant de sa compétence. Dans le cas d'espèce, elle a pris le parti de statuer par la voie d'un refus du permis de construire, cela en date du 8 juillet 1998. Il ne serait guère concevable de convertir cette décision en un recours au Tribunal administratif; à supposer d'ailleurs qu'on le fasse, le pourvoi devrait être déclaré irrecevable, puisque le délai de recours, qui a débuté lors de la réception par la municipalité de la synthèse CAMAC le 4 juin 1998, était échu au plus tard le 24 juin suivant (sur ce point, v. encore ce qui suit sous d). On doit aussi relever que la correspondance de la municipalité du 8 juillet 1998 n'aurait jamais conduit à la saisine du Tribunal administratif, lequel n'en aurait pas même eu connaissance, si Jacques Henchoz ne l'avait pas contestée. Le procédé de cette autorité ne peut dès lors guère être qualifié de recours, ce d'autant qu'elle présente au contraire toutes les apparences d'une décision. Force est ainsi d'en rester à la teneur réelle des actes pris par les différentes parties en présence (décision municipale; recours de Jacques Henchoz). d) La décision du SAT doit être considérée comme entrée en force, s'agissant de la municipalité, puisqu'elle sortait ses effets dès sa notification, le 4 juin 1998, en l'autorisant à délivrer le permis de construire. On ne saurait considérer que le délai de recours contre la décision cantonale, pour elle, ne commençait à courir qu'après sa décision d'octroi du permis de construire; une telle solution aurait en effet pour conséquence de lui donner le pouvoir de fixer elle-même le délai applicable à son propre pourvoi. Tel n'est pas nécessairement le cas pour les opposants, dont on ignore si la synthèse CAMAC leur a été communiquée (en revanche ceux-ci avaient accès au dossier). Pour ces derniers, la jurisprudence admet que le délai de recours ne débute qu'à compter la notification de la décision municipale accueillant la demande de permis de construire; il ne faut à cet égard pas perdre de vue que l'autorisation cantonale a un caractère accessoire et que cette dernière ne sortit ses effets pour eux qu'avec l'autorisation de construire municipale (RDAF 1998 I 197, consid. 1). Il n'est dès lors pas exclu que ces derniers contestent encore ultérieurement les décisions cantonales, pour autant bien entendu que la municipalité délivre le permis de construire. 3.                     La municipalité, on l'a vu, fonde son refus essentiellement sur l'augmentation des nuisances qu'entraînerait la fosse à purin litigieuse. Or, il s'agit-là d'un aspect que le SEVEN a traité expressément (en relativisant d'ailleurs l'ampleur des odeurs que cet ouvrage pourrait dégager) et le SAT a fait siennes ces considérations dans sa décision du 2 juin 1998. Ainsi, la municipalité, en voulant prendre en considération ces nuisances, a outrepassé ses compétences et empiété sur celles de l'autorité cantonale, seule à même d'appliquer en l'occurrence la législation sur la protection de l'environnement (art. 2 al. 2 précité du règlement vaudois d'application de la LPE). La municipalité n'invoque au surplus aucune disposition du droit communal, ni d'autres règles du droit cantonal relevant de ses compétences. Cela étant, la décision attaquée ne peut qu'être annulée, le dossier lui étant renvoyé pour délivrance du permis de construire. Tout au plus peut-on remarquer que la municipalité a évoqué, préalablement à sa décision, des problèmes de sécurité, liés au fait que la fosse était ouverte sur l'extérieur; elle pourrait sans doute demander des mesures à cet égard, par exemple à ce qu'elle soit couverte pour ce motif, pour autant que le principe de la proportionnalité soit respecté. Le tribunal n'a cependant pas à trancher ce point expressément ici. 4.                     La présente procédure est due, en partie à tout le moins, au fait que le recourant et constructeur a réalisé l'ouvrage litigieux, avant même d'y avoir été autorisé. Cette attitude doit être prise en considération dans le cadre de la répartition des frais et dépens (art. 55, spéc. al. 3 LJPA). Un émolument réduit à 1'000 francs sera ainsi mis à sa charge; il n'aura au surplus pas droit à des dépens, quand bien même il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