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AC.1998.0124 vom 13. Juni 2001</w:t>
      </w:r>
    </w:p>
    <w:p>
      <w:r>
        <w:t>VD Tribunal cantonal, 2001-06-13, FR</w:t>
      </w:r>
    </w:p>
    <w:p>
      <w:r>
        <w:rPr>
          <w:b/>
        </w:rPr>
        <w:t xml:space="preserve">Quelle: </w:t>
      </w:r>
      <w:r>
        <w:t>https://mcp.opencaselaw.ch/entscheid/vd_omni_AC.1998.0124</w:t>
      </w:r>
    </w:p>
    <w:p>
      <w:r>
        <w:t>FR: VD_OMNI AC.1998.0124 du 13 juin 2001</w:t>
      </w:r>
    </w:p>
    <w:p>
      <w:r>
        <w:t>IT: VD_OMNI AC.1998.0124 del 13 giugno 2001</w:t>
      </w:r>
    </w:p>
    <w:p>
      <w:pPr>
        <w:pStyle w:val="Heading2"/>
      </w:pPr>
      <w:r>
        <w:t>Regeste</w:t>
      </w:r>
    </w:p>
    <w:p>
      <w:r>
        <w:t>KUNT Murat c/Grandvaux | L'aménagement d'une terrasse (mur et remblai) sur le toit d'un bloc de garages qui ne respecte la distance à la limite ne peut être autorisé qu'aux conditions de l'art. 80 al. 2 LATC. In casu, pas d'aggravation de l'atteinte ni des inconvénients pour le voisinage, mais mouvement de terre (remblai + construction sous-jacente) trop important au regard du RPA.</w:t>
      </w:r>
    </w:p>
    <w:p>
      <w:pPr>
        <w:pStyle w:val="Heading2"/>
      </w:pPr>
      <w:r>
        <w:t>Erwägungen</w:t>
      </w:r>
    </w:p>
    <w:p>
      <w:r>
        <w:rPr>
          <w:b/>
        </w:rPr>
        <w:t>E. 5</w:t>
      </w:r>
    </w:p>
    <w:p>
      <w:r>
        <w:t>m. Reste que l'ouvrage, édifié à 4 m 50 de la limite, n'est pas réglementaire, quand bien même son implantation à cette distance a été autorisée par le permis de construire du 2 octobre 1986. 3.                     Dans la mesure où la terrasse litigieuse prend appui, en partie tout au moins, sur cet ouvrage non réglementaire, dont elle constitue une surélévation, elle ne peut être autorisée qu'aux conditions de l'art. 80 LATC. En effet, même si, à la lettre, cette disposition vise les bâtiments existants " non conformes aux règles de la zone à bâtir entrées en force postérieurement ", elle peut être appliquée par analogie aux bâtiments non réglementaires dès leur édification, lorsqu'ils sont l'objet d'une tolérance de la part des autorités ou lorsque, comme en l'espèce, ils ont bénéficié d'une autorisation qu'il n'est pas question de révoquer (v. arrêt AC 99/0128 du 18 janvier 2000 et les références; Raymond Didisheim, Le statut des ouvrages non réglementaires en droit vaudois, particulièrement dans les zones à bâtir, RDAF 1987 p. 389, spéc. 392). Les travaux en cause ne doivent donc pas aggraver l'atteinte à la réglementation en vigueur ou les inconvénients qui en résultent pour le voisinage (art. 80 al. 2 LATC). a) La nouvelle terrasse et le mur qui la soutient respectent la distance minimum de 5 mètres par rapport à la propriété du recourant. Cette transformation de la superstructure des garages n'aggrave dès lors pas l'atteinte à la réglementation. b) L'utilisation comme terrasse de la toiture d'un ouvrage qui ne respecte pas la distance minimum par rapport à la limite de propriété voisine peut, suivant les circonstances, constituer un inconvénient pour le voisinage. Le Tribunal administratif a en effet admis que la vue plongeante qu'on pourrait avoir depuis une terrasse aménagée sur le toit d'une dépendance, dans les espaces réglementaires, pouvait entraîner une gêne excessive pour le voisin (arrêt AC 91/0198 du 7 septembre 1992). En l'occurrence toutefois, la partie surélevée de la toiture des garages aménagée en terrasse respecte la distance minimum à la limite du fonds voisin. L'inconvénient qu'elle peut présenter pour le recourant est ainsi sans relation avec le caractère non-réglementaire de l'ouvrage sur lequel elle est édifiée. c) Au demeurant les inconvénients dont l'art. 80 al. 2 LATC tend à protéger le voisinage se définissent de la même manière que dans le cadre de l'art. 39 RATC concernant les dépendances : ils doivent dépasser ce qui est supportable sans sacrifice excessif (arrêt AC 99/0231 du 20 juin 2000, consid. 2b aa; AC 99/0055 du 24 février 2000; AC 98/0213 du 3 janvier 2000; v. aussi la recension par Benoît Bovay de la jurisprudence rendue en 1989 par la Commission cantonale de recours en matière de constructions, RDAF 1990, p. 255, et les références citées). Cette condition n'est pas réalisée en l'espèce. Il est certes possible de voir, depuis la terrasse litigieuse, une partie du jardin du recourant et de distinguer, à travers la fenêtre (pour autant que les rideaux ne soient pas tirés) une infime partie de la salle de séjour. Il ne s'agit toutefois pas de la partie du jardin aménagée pour y séjourner (l'endroit où se situe le couvert, avec table et chaises, restant à l'abri des regards). Quant au bruit qui pourrait provenir de la terrasse des époux Gruber, il n'apparaît pas que l'agrandissement contesté soit de nature à aggraver sensiblement la situation par rapport à la terrasse préexistante. On reste en présence d'un aménagement normal pour un bâtiment à vocation d'habitation familiale, et les inconvénients qui peuvent en résulter occasionnellement sont de ceux qu'on peut attendre que les voisins tolèrent dans un quartier de villas. d) L'ouvrage litigieux est ainsi admissible sous l'angle de l'art. 80 al. 2 LATC. 4.                     Aux termes de l'art. 40 RPA, la configuration du sol doit être maintenue (al. 1). La municipalité peut toutefois autoriser des adaptations au profil du terrain justifiées par une culture rationnelle et économique du sol ou pour permettre l'aménagement soit de jardins d'agrément, soit de terrasses, à condition qu'il n'en résulte pas de modification de l'aspect du coteau considéré dans son ensemble (al. 2). L'art. 40bis RPA précise en outre : "Tous les travaux de construction et d'aménagement doivent respecter la configuration générale du sol et la pente naturelle. Seuls peuvent être autorisés les mouvements de terre contenus dans un espace de 1,50 m. mesuré verticalement par rapport au terrain naturel." (al. 1). "La hauteur des murs de soutènement est limitée à 1,50 m. au-dessus du terrain naturel, mesurée à l'endroit le plus défavorable jusqu'à l'arête supérieure du garde-corps si celui-ci est en maçonnerie. Les murs et les talus ne peuvent pas se cumuler." (al. 5). En l'occurrence le nouveau mur de soutènement et le remblai qu'il retient présentent la particularité de ne pas s'appuyer exclusivement sur le terrain naturel, mais, en partie tout au moins, sur une construction sous-jacente qui se trouve elle-même partiellement au dessus du niveau du terrain naturel (v. ci-dessus, consid. 2, 2ème alinéa). La structure des garages fait dès lors déjà office de mur de soutènement et, conformément à la règle voulant que les murs et les talus ne peuvent se cumuler (art. 40 bis al. 5 RPA), sa hauteur par rapport au niveau du terrain naturel doit être ajoutée au nouveau terrassement. Il s'ensuit que, sur la partie antérieure des garages qui se trouve au dessus du niveau du terrain naturel tel qu'il existait en 1986, le mouvement de terre total (remblai et construction sous-jacente) dépasse deux mètres. Ainsi, bien que la majeure partie du terrassement, située sur la partie postérieure des garages, en amont de la rupture de pente figurée sur le plan de situation du 18 juin 1986 (mur de vigne ?), soit conforme à la réglementation, la municipalité aurait dû refuser le permis de construire dès lors que la partie antérieure de la nouvelle terrasse se trouve à plus d'un mètre cinquante au dessus du niveau du terrain naturel et contrevient ainsi à l'art. 40 bis RPA. A noter que le fait que la surface de la terrasse litigieuse soit plus réduite et son niveau moins élevé que ceux de la terrasse qui aurait pu être édifiée sur la base du permis de construire du 2 octobre 1986, si les garages n'avaient pas été construits 90 cm plus bas que prévu, ne saurait justifier les travaux actuels. La validité d'un permis de construire est en effet limitée dans le temps (art. 118 LATC), et les époux Gruber ne peuvent par conséquent se prévaloir d'une autorisation dont il n'a pas été pleinement fait usage à l'époque pour légitimer aujourd'hui un ouvrage de moindre importance, mais qui contrevient néanmoins à la réglementation en vigueur. 5.                     Le recourant s'en prend également à l'aspect esthétique de l'ouvrage, en produisant des photographies qui le font apparaître comme une masse claire faisant tache dans le paysage. Selon l'art. 86 al. 1 LATC, la municipalité veille à ce que les constructions, ainsi que les aménagements qui leur sont liés, présentent un aspect architectural satisfaisant et s'intègrent à l'environnement. L'art. 32 al. 2 RPA précise que les constructions, les installations, ainsi que leurs abords doivent, en eux-mêmes et en rapport avec l'environnement bâti et le paysage, être aménagés de telle façon qu'un effet d'ensemble satisfaisant puisse être obtenu. Cette exigence vaut également pour les matériaux et les couleurs. Le soin de veiller à l'aspect architectural des constructions appartient en première ligne aux autorités locales, qui disposent à cet égard d'un large pouvoir d'appréciation (ATF 115 Ia 118 et s., consid. 3d), que le Tribunal administratif ne peut contrôler que sous l'angle de l'excès ou de l'abus (art. 36 lit. a LJPA; arrêts AC 95/0003 du 31 juillet 1996, AC 91/039 du 29 avril 1992 et les références). Le tribunal a pu constater lors de la visite des lieux que le mur soutenant la terrasse n'était pas de couleur aussi claire que pouvait le faire croire les photographies produites par le recourant. Sa teinte, plutôt ocre, se rapproche de celle de la villa. En outre, des plantations (buissons, plantes grimpantes, etc.) destinées à le masquer ont été faites. Dans l'ensemble, le nouvel aménagement - au demeurant peu volumineux - s'intègre bien au paysage avoisinant, si bien que la décision entreprise n'est pas critiquable sur ce point. 6.  L'ouvrage litigieux est pratiquement achevé (lors de la visite des lieux, seul le dallage de la terrasse restait à poser). Dès lors que, pour le motif exposé au considérant 4, le permis de construire doit être annulé, il appartiendra à la municipalité de décider si, et dans quelle mesure, les travaux non réglementaires devront être supprimés ou modifiés aux frais des propriétaires (v. art. 105 LATC). Cette question devra être résolue notamment au regard du principe de la proportionnalité des mesures administratives (cf. ATF 111 Ib 224, consid. 4b/c; 108 Ia 216 ss; 104 Ib 303, consid. 5b). C'est dans ce cadre qu'il y aura lieu d'examiner si l'atteinte à l'art. 40 bis RPA et l'intérêt public que protège cette disposition sont suffisamment importants pour justifier les frais de remise en état qui seraient imposés aux époux Gruber. 7.                     Conformément à l'art. 55 LJPA, les frais et dépens sont en principe supportés par la ou les parties qui succombent. Lorsque la procédure met en présence, outre le recourant et l'autorité intimée, une ou plusieurs autres parties dont les intérêts sont opposés à ceux du recourant, c'est en principe à la partie déboutée, à l'exclusion de la collectivité publique dont la décision est annulée ou modifiée, de supporter les frais et dépens (RDAF 1994 p. 324). L'émolument de justice sera en conséquence mis à la charge des constructeurs, de même que les dépens auxquels peut prétendre Murat Kunt, qui obtient gain de cause et était représenté par un avocat lors de l'audience du 3 juillet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