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AC.1998.0120 vom 14. März 2000</w:t>
      </w:r>
    </w:p>
    <w:p>
      <w:r>
        <w:t>VD Tribunal cantonal, 2000-03-14, FR</w:t>
      </w:r>
    </w:p>
    <w:p>
      <w:r>
        <w:rPr>
          <w:b/>
        </w:rPr>
        <w:t xml:space="preserve">Quelle: </w:t>
      </w:r>
      <w:r>
        <w:t>https://mcp.opencaselaw.ch/entscheid/vd_omni_AC.1998.0120</w:t>
      </w:r>
    </w:p>
    <w:p>
      <w:r>
        <w:t>FR: VD_OMNI AC.1998.0120 du 14 mars 2000</w:t>
      </w:r>
    </w:p>
    <w:p>
      <w:r>
        <w:t>IT: VD_OMNI AC.1998.0120 del 14 marzo 2000</w:t>
      </w:r>
    </w:p>
    <w:p>
      <w:pPr>
        <w:pStyle w:val="Heading2"/>
      </w:pPr>
      <w:r>
        <w:t>Regeste</w:t>
      </w:r>
    </w:p>
    <w:p>
      <w:r>
        <w:t>SANSONNENS Ronald c/SAT/Grandcour | Autorisation de transformer et d'agrandir la partie habitation d'une ancienne ferme, subordonnée à l'inscription d'une charge foncière garantissant le maintien de l'affectation agricole. Condition confirmée par le TA, bien que l'autorisation ait été délivrée à tort, l'habitation n'étant pas destinée à l'exploitation agricole (interdiction de la reformatio in pejus.)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LJPA, il y a lieu de mettre un émolument de justice à la charge du recourant.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