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AC.1998.0051 vom 7. September 1998</w:t>
      </w:r>
    </w:p>
    <w:p>
      <w:r>
        <w:t>VD Tribunal cantonal, 1998-09-07, FR</w:t>
      </w:r>
    </w:p>
    <w:p>
      <w:r>
        <w:rPr>
          <w:b/>
        </w:rPr>
        <w:t xml:space="preserve">Quelle: </w:t>
      </w:r>
      <w:r>
        <w:t>https://mcp.opencaselaw.ch/entscheid/vd_omni_AC.1998.0051</w:t>
      </w:r>
    </w:p>
    <w:p>
      <w:r>
        <w:t>FR: VD_OMNI AC.1998.0051 du 7 septembre 1998</w:t>
      </w:r>
    </w:p>
    <w:p>
      <w:r>
        <w:t>IT: VD_OMNI AC.1998.0051 del 7 settembre 1998</w:t>
      </w:r>
    </w:p>
    <w:p>
      <w:pPr>
        <w:pStyle w:val="Heading2"/>
      </w:pPr>
      <w:r>
        <w:t>Regeste</w:t>
      </w:r>
    </w:p>
    <w:p>
      <w:r>
        <w:t>BORNAND Nelly c/ Yens et crts | L'interprétation des règles de police des constructions ne doit pas introduire des restrictions que leur texte aurait pu aisément formuler expressément. Lorsque le règlement prévoit que les balcons couverts, les balcons loggias, les jardins d'hiver, peuvent empiéter hors des périmètres d'implantation de 2,50 m au maximum, on ne saurait interdire qu'une terrasse de cette largeur court sur toute la longueur de la façade.</w:t>
      </w:r>
    </w:p>
    <w:p>
      <w:pPr>
        <w:pStyle w:val="Heading2"/>
      </w:pPr>
      <w:r>
        <w:t>Erwägungen</w:t>
      </w:r>
    </w:p>
    <w:p>
      <w:r>
        <w:rPr>
          <w:b/>
        </w:rPr>
        <w:t>E. 14</w:t>
      </w:r>
    </w:p>
    <w:p>
      <w:r>
        <w:t>places de parc (8 en sous-sol et 6 à l'extérieur) ne peuvent provoquer un dépassement des valeurs limites de l'OPB. Au surplus, le bâtiment de la recourante se trouve à l'opposé de la route de desserte du bâtiment et à l'opposé aussi du côté où les véhicules accéderont au garage souterrain. 11.                   La recourante déclare que le bâtiment est surdimensionné en hauteur, que le garage n'est pas enterré et que le rez-de-chaussée est surélevé au sud-ouest de 2 mètres (ch. B 10 du recours). Cette situation est imputable à la pente du terrain et la recourante n'indique pas en quoi le règlement communal serait violé. 12.                   Pour la recourante, aucune disposition n'autoriserait la pergola prévue (ch. B 11 du recours). Le plan partiel d'affectation applicable prévoit trois catégories de "surfaces de prolongement extérieur" A, B et C. C'est l'art. 12 RPEPC qui régit les espaces A et B tandis que la catégorie C est propre au PPA et constitue le prolongement extérieur de la menuiserie. Selon l'art. 12 RPEPC, les espaces A sont inconstructibles. Les espaces B le sont aussi en principe mais dans ces "surfaces de prolongement extérieur B" sont admis des garages ou petites dépendances jusqu'à 30 m² et 5 mètres au faîte, ainsi que des piscines. On peut se demander si une pergola, qui est destinée à supporter des plantes grimpantes et qui se caractérise non seulement par l'absence de fermeture latérale mais aussi par l'absence d'une toiture fermée, doit être considérée comme une construction ou si au contraire, il s'agit d'un aménagement extérieur pouvant prendre place même sur une surface totalement inconstructible. Le tribunal a laissé récemment ouverte la question de savoir si une pergola constitue une dépendance dont la construction serait soumise à enquête publique (AC 96/228 du 18 août 1997). Peu importe en l'espèce car la pergola prévue prendrait place dans les "surfaces de prolongement extérieur B" où le règlement communal autorise de toute manière la construction de dépendances. C'est dire qu'à fortiori, il faut y admettre la création d'une pergola. Pour le surplus, la recourante ne prétend pas que la pergola (qu'elle ne verra probablement pas en raison de la haie de thuyas qui sépare les deux parcelles) la gênerait, si bien que même si on appliquait l'art. 39 al. 3 RATC, cette installation devrait être admise. 13.                   Au vu du ch. B 12 du recours, la recourante ignorait (son conseil l'a admis en audience) que le PPA qui régit le périmètre litigieux lui attribue le degré III de sensibilité au bruit. 14.                   En différents points de son mémoire, la recourante qualifie la projet de monstrueux et y voit une utilisation abusive des possibilités de construire. Elle invoque les art. 9 et 10 RPEPC, applicables à la zone de village. La première de ces dispositions prévoit ceci: "Tous les bâtiments prévus dans un secteur font partie d'un même ensemble architectural et que la municipalité est en droit de refuser le permis ou d'exiger des modifications pour tout projet dont l'architecture nuirait à l'esprit d'ensemble." Quant à l'art. 10 RPEPC, il contient une clause générale d'esthétique. Le tribunal rappelle régulièrement (voir par exemple un récent arrêt AC 97/228 du 7 mai 1998) que selon la jurisprudence du Tribunal fédéral, c'est aux autorités municipales qu'il appartient au premier chef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Dans ce cadre, l'autorité doit notamment veiller à ne pas appliquer la clause d'esthétique de telle sorte que cela viderait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AC 93/257 du 10 mai 1994; AC 95/268, association Pro Chevalleyres c/ Blonay, du 1er mars 1996). La jurisprudence du Tribunal fédéral, comme le Tribunal administratif l'a rappelé récemment (AC 95/235 du 22 janvier 1996),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Les autorités locales conservent dans l'application de l'art. 86 LATC un large pouvoir d'appréciation, l'autorité de recours devant s'imposer une certaine retenue dans l'examen de ce moyen (ATF 115 Ia 118-119 consid. 3d). En l'espèce, le tribunal ne parvient pas à voir en quoi le projet litigieux, qui ressemble fortement aux autres bâtiments récemment construits à proximité par le même architecte, pourrait être qualifié de monstrueux. Il suffit d'ailleurs de constater qu'il comportera 780 m² de surface habitable sur une parcelle de 2327 m² (soit un rapport de 0.34) pour se convaincre qu'il utilise modérément le sol. Cet ultime grief doit être rejeté. 15.                   Tous les moyens soulevés par la recourante s'avérant mal fondés, le recours sera rejeté à ses frais (qui tiendront compte de l'organisation d'une audience sur place avec inspection locale) et à ses dépens, qu'elle doit aux intimés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