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AC.1998.0043 vom 30. September 1998</w:t>
      </w:r>
    </w:p>
    <w:p>
      <w:r>
        <w:t>VD Tribunal cantonal, 1998-09-30, FR</w:t>
      </w:r>
    </w:p>
    <w:p>
      <w:r>
        <w:rPr>
          <w:b/>
        </w:rPr>
        <w:t xml:space="preserve">Quelle: </w:t>
      </w:r>
      <w:r>
        <w:t>https://mcp.opencaselaw.ch/entscheid/vd_omni_AC.1998.0043</w:t>
      </w:r>
    </w:p>
    <w:p>
      <w:r>
        <w:t>FR: VD_OMNI AC.1998.0043 du 30 septembre 1998</w:t>
      </w:r>
    </w:p>
    <w:p>
      <w:r>
        <w:t>IT: VD_OMNI AC.1998.0043 del 30 settembre 1998</w:t>
      </w:r>
    </w:p>
    <w:p>
      <w:pPr>
        <w:pStyle w:val="Heading2"/>
      </w:pPr>
      <w:r>
        <w:t>Regeste</w:t>
      </w:r>
    </w:p>
    <w:p>
      <w:r>
        <w:t>Schoenenberger Norbert et crts c/Lausanne | Les escaliers extérieurs accédant au premier étage ne comptent pas dans la surface bâtie. L'art. 53 RPE Lausanne (zone villa) prévoit d'ailleurs expressément que la surface du bâtiment doit être mesurée par projection sur le plan horizontal de tous les éléments construits fermés.</w:t>
      </w:r>
    </w:p>
    <w:p>
      <w:pPr>
        <w:pStyle w:val="Heading2"/>
      </w:pPr>
      <w:r>
        <w:t>Erwägungen</w:t>
      </w:r>
    </w:p>
    <w:p>
      <w:r>
        <w:rPr>
          <w:b/>
        </w:rPr>
        <w:t>E. 1</w:t>
      </w:r>
    </w:p>
    <w:p>
      <w:r>
        <w:t>1a</w:t>
      </w:r>
    </w:p>
    <w:p>
      <w:r>
        <w:rPr>
          <w:b/>
        </w:rPr>
        <w:t>E. 8</w:t>
      </w:r>
    </w:p>
    <w:p>
      <w:r>
        <w:t>297 * 130 266 * 130 342 * 020 36 * 15 351 * 120 234 * 365 239 * 138 (40+45+18)*15 18 * 15 Total -38610 -34580 -6840 +540 -42120 -85410 -32982 +1545 1932043 soit pour pour 4 moitiés 7728172 On constate ainsi que les bâtiments A et B occupent 772,8 m² sur la parcelle 7150 dont la surface est de 4720 m², ce qui autoriserait une surface construite de 786,6m². L'art. 53 RPE est respecté et il y a même quelques mètres carrés de marge. d)                     Quant au bâtiment C, dont la configuration est proche de celle des segments extérieurs des deux autres bâtiments, mais avec des dimensions différentes, il appelle le calcul suivant: surface hors tout du ½ bâtiment C 890 * 1323 1177470 1 3 4 5 7 297 * 130 18 * 15 294 * 120 234 * 391 (40+18)*15 Total soit pour 2 moitiés -38610 +270 -35280 -91494 +870 1013226 2026452 On constate ainsi que le bâtiment C occupe 202,6 m² sur la parcelle 7152 dont la surface est de 1226 m², ce qui autoriserait une surface construite de 204.3 m². L'art. 53 RPE est respecté avec une modeste marge. 4.                     Les recourants font valoir que la butte de terre qui, au nord des constructions litigieuses, séparera celles-ci de l'autoroute, doit être prise en compte dans le calcul de la surface bâtie. Ils se fondent pour cela sur un arrêt selon lequel une aire de stationnement soutenue par un mur devrait être comptée dans le calcul de la surface bâtie (RDAF 1988 p. 425). Cette jurisprudence - en soi discutable - ne saurait de toute manière être transposée au cas d'une simple butte de terre plantée d'arbres, car cette butte n'est pas une construction (ni surtout une construction fermée au sens de l'art. 53 RPE) mais un aménagement extérieur. 5.                     Les recourants contestent les mesures de bruit qui ont conduit à déclarer les bâtiments projetés réalisables au sens de l'art. 21 LPE et à définir les dispositions constructives à prendre. Le tribunal a versé sur ce point au dossier les déterminations du bureau d'ingénieurs qui a effectué les études, datées du 26 août 1998, ainsi que, sur requête des recourants, un extrait du rapport de contrôle des niveaux sonores du bureau de Carmine, du 12 août 1998. Les recourants contestent les documents figurant au dossier en faisant valoir qu'on s'est contenté de mesurer le bruit de l'autoroute vers 9h30 le matin pendant 20 minutes, alors qu'à cette heure-là, les chauffeurs de poids lourds sont généralement à la pause café. Ce moyen dénote une méconnaissance des méthodes de calcul dans ce domaine. Comme l'expose le bureau d'ingénieur Money dans sa lettre du 26 août 1998, la méthode consiste à effectuer simultanément des comptages de véhicules en distinguant les véhicules bruyants et des mesurages du niveau de bruit: le comptage des véhicules permet de corriger le niveau mesuré sur la base du trafic journalier moyen estimé sur une base annuelle. Il n'y a donc pas lieu de mettre en doute les documents techniques qui ont permis à la municipalité de considérer que les règles de l'OPB étaient respectées. Il n'y a pas lieu non plus de mettre en doute le bien-fondé de la décision des experts de ne pas tenir compte de l'une des valeurs relevée pour le motif qu'elle procédait manifestement d'une erreur de mesure. 6.                     Les recourants font valoir que le permis de construire aurait dû être refusé en application de l'art. 101 RPE, qui contient une clause générale d'esthétique analogue à celle de l'art. 86 LATC. Le tribunal rappelle régulièrement (voir par exemple AC 97/228 du 7 mai 1998; AC 98/051 du 7 septembre 1998) que selon la jurisprudence du Tribunal fédéral, c'est aux autorités municipales qu'il appartient au premier chef de veiller à l'aspect architectural des constructions; elles disposent à cet égard d'un large pouvoir d'appréciation (voir notamment ATF 115 Ia 370, consid. 3, 115 Ia 363, consid. 2 c; 115 Ia 114, consid. 3d; ATF 101 Ia 213, consid. 6a, RDAF 1987, 155; voir aussi Droit vaudois de la construction, op. cit., note 3 ad art. 86 LATC). Dans ce cadre, l'autorité doit notamment veiller à ne pas appliquer la clause d'esthétique de telle sorte que cela viderait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M. c/ Ormont-Dessus, du 1er novembre 1989; ATF 115 Ia 114; 115 Ia 345; 114 Ia 345; ATF 101 Ia 213 ss; AC 93/125 du 2 mai 1994). Dès lors que l'autorité municipale dispose dans ce domaine d'un large pouvoir d'appréciation, le Tribunal administratif observe une certaine retenue dans l'examen du problème en ce sens qu'il ne saurait substituer sans autre son propre pouvoir d'appréciation à celui de l'autorité municipale (AC 93/034 du 29 décembre 1993). En effet, l'autorité de recours ne revoit que l'abus ou l'excès dans la mesure où il s'agit de questions dont la solution dépend étroitement des circonstances locales (art. 36 lit a LJPA; TA, arrêt AC 92/101,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 AC 93/240, du 19 avril 1994; AC 93/257 du 10 mai 1994; AC 95/268, association Pro Chevalleyres c/ Blonay, du 1er mars 1996). La jurisprudence du Tribunal fédéral, comme le Tribunal administratif l'a rappelé récemment (AC 95/235 du 22 janvier 1996), a précisé qu'une interdiction de construire fondée sur l'art. 86 LATC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Les autorités locales conservent dans l'application de l'art. 86 LATC un large pouvoir d'appréciation, l'autorité de recours devant s'imposer une certaine retenue dans l'examen de ce moyen (ATF 115 Ia 118-119 consid. 3d). En l'espèce, les recourants font valoir que le projet témoigne d'un mépris pour le caractère d'un quartier composé de "vraies" villas. Ce moyen est mal fondé car l'inspection locale a montré que les habitations alentour sont assez disparates puisqu'on trouve une villa du début du siècle au bord de l'autoroute sur la parcelle 7151 tandis qu'au sud-ouest de la parcelle 7152 de la constructrice, on trouve aussi bien une construction dotée d'une façade en bois aux allures de ferme qu'une construction moderne en béton. De toute manière, on ne se trouve pas, compte tenu du fait que le quartier est directement bordé par l'autoroute, en présence d'un site inviolé et particulièrement sensible. Pour le surplus, on a déjà vu plus haut qu'on ne saurait imposer à la constructrice, au titre de la clause d'esthétique, une conception architecturale exclusivement inspirée par la conception d'une habitation individuelle sous la forme d'une villa familiale traditionnelle. Enfin. l'architecte de la constructrice a versé au dossier des photocopies d'un article d'une revue spécialisée (Habitation no 2/1998, p. 10 ss, spéc. 16) concernant une réalisation dont le projet litigieux s'inspire manifestement. On ne trouve pas dans cet article d'indice permettant de conforter la position des recourants quant à la qualité architecturale du projet litigieux et il s'agit là de toute manière d'une question d'appréciation sur laquelle il ne convient pas que l'autorité judiciaire impose une conception déterminée. 7.                     Les recourants font encore valoir que la dérogation accordée en vertu de l'art. 110b RPE serait inacceptable. Cette disposition prévoit que pour des constructions souterraines ou semi enterrées, la municipalité peut déroger aux règles sur la distance aux limites et entre bâtiments et sur le coefficient d'occupation ou d'utilisation du sol pour autant que la topographie existant avant l'exécution des travaux ne soit pas sensiblement modifiée et qu'il n'en résulte pas de préjudice pour le voisinage, notamment. Ce moyen est mal fondé parce que l'examen des coupes pour les bâtiments A et B montre que le terrain fini ne différera que peu du terrain naturel et qu'en tous les cas, il est la plupart du temps quelques décimètres seulement en dessous du terrain naturel. On ne voit pas en quoi la municipalité aurait abusé du pouvoir d'appréciation que lui confère l'art. 110b RPE en admettant le projet sous cet angle. Au surplus, la seule modification importante du terrain naturel consiste dans l'élévation de la butte de terre arborisée située entre les constructions litigieuses et l'autoroute. Toutefois, le tribunal relève à cet égard que loin de causer un préjudice aux recourants, cet aménagement, tout comme les bâtiments litigieux eux-mêmes, est au contraire de nature à former un écran les protégeant du bruit de l'autoroute. 8.                     Les recourants contestent finalement dans leur recours que les places de stationnement au nord-est du bâtiment C puissent bénéficier de la dérogation de l'art. 39 RATC. Selon eux, elles aggravent le défaut de visibilité dans le carrefour entre le chemin des Abeilles et le chemin Isabelle-de-Montolieu. Cette affirmation est téméraire car les places de stationnement en question se trouvent quelque 15 m en retrait du débouché du chemin des Abeilles. 9.                     Les recourants ont encore soulevé lors de l'audience des moyens qui n'étaient pas évoqués dans la procédure écrite. On peut s'abstenir de déterminer s'ils sont recevables car ils sont de toute manière mal fondés. a) Les recourants ont soutenu que le chemin goudronné, contenant des canalisations publiques et bordé par un réverbère, qui se trouve sur la parcelle 7152 en bordure de leur parcelle 7153 et 7154, devrait être retranché, grevé qu'il est d'une servitude, la surface constructible. Il est de jurisprudence constante que pour le calcul du COS, la surface constructible comprend toutes les parties de la parcelle qui se trouvent en zone à bâtir; seules peuvent en être déduites des surfaces désaffectées par un acte de même niveau, tel qu'un projet routier s'il y a eu transfert au domaine public ou constitution d'une servitude publique, réserve étant encore faite de l'éventuelle prise en compte autorisée du domaine public dans certains règlements (v. par ex. l'arrêt AC 95/234 du 15 novembre 1996, P. c/Jongny, cité à juste titre par le conseil de la commune). b) Les recourants soutiennent qu'entre bâtiments situés sur la même parcelle, la distance à observer devrait être égale au double de la distance à la limite. Il est exact que l'art. 51 al. 3 RPE dans son ancienne teneur prévoyait qu'entre deux bâtiments situés sur la même propriété les distances réglementaires sont additionnées. Cette disposition n'est cependant plus en vigueur et actuellement, l'art. 51b RPE prévoit une distance fixe de 10 mètres. Il faut s'en tenir au texte réglementaire. En effet, comme le tribunal en a déjà jugé, les règles de polices des constructions et d'aménagement du territoire constituent des restrictions à la propriété privée soumises à l'exigence d'une base légale. On ne saurait donner à ces règles une interprétation plus contraignante que ce que leur texte même prévoit. Tel est notamment le cas lorsque le texte adopté par le législateur (communal en l'occurrence) ne contient pas une restriction qu'il eût été aisé d'introduire de manière expresse dans la norme (voir par exemple AC 98/051 du 7 septembre 1998). En l'espèce, le tribunal juge que le justiciable doit pouvoir se fier au texte clair de l'art. 51b RPE sans avoir à rechercher si une interprétation historique ne justifierait pas une restriction supplémentaire c) Enfin, les recourants ont critiqué la présence d'une place de jeux pour enfants à l'extrémité nord de la parcelle 7152 en faisant valoir qu'ainsi située à proximité du carrefour, elle serait dangereuse en raison des véhicules qui risquent de sortir de la route. Ce moyen, qui de toute manière n'est pas de nature à remettre en cause l'ensemble des constructions litigieuses, doit être rejeté parce que le Tribunal administratif ne saurait substituer son appréciation sur ce point à celle de la municipalité. 9.                     Le recours est ainsi rejeté aux frais des recourants, qui doivent des dépens à la commune (art. 55 LJPA dans sa nouvelle teneur) assistée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