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AC.1997.0080 vom 24. September 1997</w:t>
      </w:r>
    </w:p>
    <w:p>
      <w:r>
        <w:t>VD Tribunal cantonal, 1997-09-24, FR</w:t>
      </w:r>
    </w:p>
    <w:p>
      <w:r>
        <w:rPr>
          <w:b/>
        </w:rPr>
        <w:t xml:space="preserve">Quelle: </w:t>
      </w:r>
      <w:r>
        <w:t>https://mcp.opencaselaw.ch/entscheid/vd_omni_AC.1997.0080</w:t>
      </w:r>
    </w:p>
    <w:p>
      <w:r>
        <w:t>FR: VD_OMNI AC.1997.0080 du 24 septembre 1997</w:t>
      </w:r>
    </w:p>
    <w:p>
      <w:r>
        <w:t>IT: VD_OMNI AC.1997.0080 del 24 settembre 1997</w:t>
      </w:r>
    </w:p>
    <w:p>
      <w:pPr>
        <w:pStyle w:val="Heading2"/>
      </w:pPr>
      <w:r>
        <w:t>Regeste</w:t>
      </w:r>
    </w:p>
    <w:p>
      <w:r>
        <w:t>PFISTER Roger c/Carrouge | N'a pas qualité pour recourir contre l'octroi d'un permis de construire, le voisin qui n'est pas personnellement gêné par le projet de construction, mais qui s'y oppose dans le seul but de faire respecter le règlement. Il s'agit là d'une action populaire qui est irrecevable.</w:t>
      </w:r>
    </w:p>
    <w:p>
      <w:pPr>
        <w:pStyle w:val="Heading2"/>
      </w:pPr>
      <w:r>
        <w:t>Erwägungen</w:t>
      </w:r>
    </w:p>
    <w:p>
      <w:r>
        <w:rPr>
          <w:b/>
        </w:rPr>
        <w:t>E. 8</w:t>
      </w:r>
    </w:p>
    <w:p>
      <w:r>
        <w:t>al. 6 RPE. Fort de ces considérations, le tribunal juge le recours irrecevable. 2.                     Vu l'issue du recours, les frais sont mis à la charge du recourant. Il n'est pas alloué de dépens, ni la municipalité, ni la constructrice n'étant assistées par 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